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ECA29" w14:textId="77777777" w:rsidR="009C17DE" w:rsidRPr="00CD186B" w:rsidRDefault="009C17DE" w:rsidP="009C17DE">
      <w:pPr>
        <w:jc w:val="center"/>
        <w:rPr>
          <w:rFonts w:cs="Arial"/>
          <w:b/>
          <w:sz w:val="16"/>
          <w:szCs w:val="16"/>
        </w:rPr>
      </w:pPr>
      <w:r w:rsidRPr="00CD186B">
        <w:rPr>
          <w:rFonts w:cs="Arial"/>
          <w:b/>
          <w:sz w:val="16"/>
          <w:szCs w:val="16"/>
        </w:rPr>
        <w:t>PARTE II</w:t>
      </w:r>
    </w:p>
    <w:p w14:paraId="3B2E9256" w14:textId="77777777" w:rsidR="009C17DE" w:rsidRPr="00CD186B" w:rsidRDefault="009C17DE" w:rsidP="009C17DE">
      <w:pPr>
        <w:jc w:val="center"/>
        <w:rPr>
          <w:rFonts w:cs="Arial"/>
          <w:b/>
          <w:sz w:val="16"/>
          <w:szCs w:val="16"/>
        </w:rPr>
      </w:pPr>
      <w:r w:rsidRPr="00CD186B">
        <w:rPr>
          <w:rFonts w:cs="Arial"/>
          <w:b/>
          <w:sz w:val="16"/>
          <w:szCs w:val="16"/>
        </w:rPr>
        <w:t>MERCADO INTERMEDIADO</w:t>
      </w:r>
    </w:p>
    <w:p w14:paraId="04B0C86F" w14:textId="77777777" w:rsidR="009C17DE" w:rsidRPr="00CD186B" w:rsidRDefault="009C17DE" w:rsidP="009C17DE">
      <w:pPr>
        <w:jc w:val="center"/>
        <w:rPr>
          <w:rFonts w:cs="Arial"/>
          <w:b/>
          <w:sz w:val="16"/>
          <w:szCs w:val="16"/>
        </w:rPr>
      </w:pPr>
    </w:p>
    <w:p w14:paraId="0D05FFFA" w14:textId="77777777" w:rsidR="009C17DE" w:rsidRPr="00CD186B" w:rsidRDefault="009C17DE" w:rsidP="009C17DE">
      <w:pPr>
        <w:jc w:val="center"/>
        <w:rPr>
          <w:rFonts w:cs="Arial"/>
          <w:b/>
          <w:sz w:val="16"/>
          <w:szCs w:val="16"/>
        </w:rPr>
      </w:pPr>
      <w:r w:rsidRPr="00CD186B">
        <w:rPr>
          <w:rFonts w:cs="Arial"/>
          <w:b/>
          <w:sz w:val="16"/>
          <w:szCs w:val="16"/>
        </w:rPr>
        <w:t>TÍTULO IV</w:t>
      </w:r>
    </w:p>
    <w:p w14:paraId="3A39CF65" w14:textId="77777777" w:rsidR="009C17DE" w:rsidRPr="00CD186B" w:rsidRDefault="009C17DE" w:rsidP="009C17DE">
      <w:pPr>
        <w:jc w:val="center"/>
        <w:rPr>
          <w:rFonts w:cs="Arial"/>
          <w:b/>
          <w:sz w:val="16"/>
          <w:szCs w:val="16"/>
        </w:rPr>
      </w:pPr>
      <w:r w:rsidRPr="00CD186B">
        <w:rPr>
          <w:rFonts w:cs="Arial"/>
          <w:b/>
          <w:sz w:val="16"/>
          <w:szCs w:val="16"/>
        </w:rPr>
        <w:t>INSTRUCCIONES GENERALES RELATIVAS A LAS OPERACIONES DE LAS ENTIDADES ASEGURADORAS, CAPITALIZACIÓN E INTERMEDIARIOS DE SEGUROS</w:t>
      </w:r>
    </w:p>
    <w:p w14:paraId="56D62AA9" w14:textId="77777777" w:rsidR="009C17DE" w:rsidRPr="00CD186B" w:rsidRDefault="009C17DE" w:rsidP="009C17DE">
      <w:pPr>
        <w:tabs>
          <w:tab w:val="left" w:pos="3769"/>
        </w:tabs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ab/>
      </w:r>
    </w:p>
    <w:p w14:paraId="712F6E7B" w14:textId="77777777" w:rsidR="009C17DE" w:rsidRPr="00CD186B" w:rsidRDefault="009C17DE" w:rsidP="009C17DE">
      <w:pPr>
        <w:jc w:val="center"/>
        <w:rPr>
          <w:rFonts w:cs="Arial"/>
          <w:b/>
          <w:sz w:val="16"/>
          <w:szCs w:val="16"/>
        </w:rPr>
      </w:pPr>
      <w:r w:rsidRPr="00CD186B">
        <w:rPr>
          <w:rFonts w:cs="Arial"/>
          <w:b/>
          <w:sz w:val="16"/>
          <w:szCs w:val="16"/>
        </w:rPr>
        <w:t>CAPÍTULO II: DISPOSICIONES ESPECIALES APLICABLES A LAS ENTIDADES ASEGURADORAS Y REASEGURADORAS</w:t>
      </w:r>
    </w:p>
    <w:p w14:paraId="43AE63C3" w14:textId="77777777" w:rsidR="009C17DE" w:rsidRPr="00CD186B" w:rsidRDefault="009C17DE" w:rsidP="009C17DE">
      <w:pPr>
        <w:rPr>
          <w:rFonts w:cs="Arial"/>
          <w:b/>
          <w:sz w:val="16"/>
          <w:szCs w:val="16"/>
        </w:rPr>
      </w:pPr>
    </w:p>
    <w:p w14:paraId="14360C14" w14:textId="77777777" w:rsidR="009C17DE" w:rsidRPr="00CD186B" w:rsidRDefault="009C17DE" w:rsidP="009C17DE">
      <w:pPr>
        <w:pStyle w:val="Encabezadodetabladecontenido"/>
        <w:spacing w:before="0"/>
        <w:rPr>
          <w:rFonts w:ascii="Arial" w:hAnsi="Arial" w:cs="Arial"/>
          <w:color w:val="auto"/>
          <w:sz w:val="16"/>
          <w:szCs w:val="16"/>
          <w:lang w:val="es-ES"/>
        </w:rPr>
      </w:pPr>
    </w:p>
    <w:p w14:paraId="787A25BE" w14:textId="77777777" w:rsidR="009C17DE" w:rsidRPr="00CD186B" w:rsidRDefault="009C17DE" w:rsidP="009C17DE">
      <w:pPr>
        <w:pStyle w:val="Encabezadodetabladecontenido"/>
        <w:spacing w:before="0"/>
        <w:rPr>
          <w:rFonts w:ascii="Arial" w:hAnsi="Arial" w:cs="Arial"/>
          <w:color w:val="auto"/>
          <w:sz w:val="16"/>
          <w:szCs w:val="16"/>
        </w:rPr>
      </w:pPr>
      <w:r w:rsidRPr="00CD186B">
        <w:rPr>
          <w:rFonts w:ascii="Arial" w:hAnsi="Arial" w:cs="Arial"/>
          <w:color w:val="auto"/>
          <w:sz w:val="16"/>
          <w:szCs w:val="16"/>
          <w:lang w:val="es-ES"/>
        </w:rPr>
        <w:t>CONTENIDO</w:t>
      </w:r>
    </w:p>
    <w:p w14:paraId="0106D8FF" w14:textId="77777777" w:rsidR="009C17DE" w:rsidRPr="00CD186B" w:rsidRDefault="009C17DE" w:rsidP="009C17DE">
      <w:pPr>
        <w:pStyle w:val="TDC1"/>
        <w:tabs>
          <w:tab w:val="right" w:leader="dot" w:pos="8830"/>
        </w:tabs>
        <w:rPr>
          <w:rFonts w:eastAsia="MS Mincho" w:cs="Arial"/>
          <w:b w:val="0"/>
          <w:bCs w:val="0"/>
          <w:noProof/>
          <w:szCs w:val="16"/>
          <w:lang w:val="es-ES_tradnl" w:eastAsia="ja-JP"/>
        </w:rPr>
      </w:pPr>
      <w:r w:rsidRPr="00CD186B">
        <w:rPr>
          <w:rFonts w:cs="Arial"/>
          <w:szCs w:val="16"/>
        </w:rPr>
        <w:fldChar w:fldCharType="begin"/>
      </w:r>
      <w:r w:rsidRPr="00CD186B">
        <w:rPr>
          <w:rFonts w:cs="Arial"/>
          <w:szCs w:val="16"/>
        </w:rPr>
        <w:instrText xml:space="preserve"> TOC \o "1-2" \h \z \u </w:instrText>
      </w:r>
      <w:r w:rsidRPr="00CD186B">
        <w:rPr>
          <w:rFonts w:cs="Arial"/>
          <w:szCs w:val="16"/>
        </w:rPr>
        <w:fldChar w:fldCharType="separate"/>
      </w:r>
      <w:r w:rsidRPr="00CD186B">
        <w:rPr>
          <w:rFonts w:cs="Arial"/>
          <w:bCs w:val="0"/>
          <w:noProof/>
          <w:szCs w:val="16"/>
        </w:rPr>
        <w:t>1. REGLAS GENERALES SOBRE LA OPERACIÓN DE SEGUROS</w:t>
      </w:r>
    </w:p>
    <w:p w14:paraId="7EBF628F" w14:textId="77777777" w:rsidR="009C17DE" w:rsidRPr="00CD186B" w:rsidRDefault="009C17DE" w:rsidP="009C17DE">
      <w:pPr>
        <w:pStyle w:val="TDC2"/>
        <w:rPr>
          <w:rFonts w:eastAsia="MS Mincho" w:cs="Arial"/>
          <w:iCs w:val="0"/>
          <w:noProof/>
          <w:szCs w:val="16"/>
          <w:lang w:val="es-ES_tradnl" w:eastAsia="ja-JP"/>
        </w:rPr>
      </w:pPr>
      <w:r w:rsidRPr="00CD186B">
        <w:rPr>
          <w:rFonts w:cs="Arial"/>
          <w:noProof/>
          <w:szCs w:val="16"/>
        </w:rPr>
        <w:t>1.1. Autorización de ramos de seguros</w:t>
      </w:r>
    </w:p>
    <w:p w14:paraId="0F35036F" w14:textId="77777777" w:rsidR="009C17DE" w:rsidRPr="00CD186B" w:rsidRDefault="009C17DE" w:rsidP="009C17DE">
      <w:pPr>
        <w:pStyle w:val="TDC2"/>
        <w:rPr>
          <w:rFonts w:eastAsia="MS Mincho" w:cs="Arial"/>
          <w:iCs w:val="0"/>
          <w:noProof/>
          <w:szCs w:val="16"/>
          <w:lang w:val="es-ES_tradnl" w:eastAsia="ja-JP"/>
        </w:rPr>
      </w:pPr>
      <w:r w:rsidRPr="00CD186B">
        <w:rPr>
          <w:rFonts w:cs="Arial"/>
          <w:noProof/>
          <w:szCs w:val="16"/>
        </w:rPr>
        <w:t>1.2. Pólizas y tarifas</w:t>
      </w:r>
    </w:p>
    <w:p w14:paraId="7FD18586" w14:textId="77777777" w:rsidR="009C17DE" w:rsidRPr="00CD186B" w:rsidRDefault="009C17DE" w:rsidP="009C17DE">
      <w:pPr>
        <w:pStyle w:val="TDC2"/>
        <w:rPr>
          <w:rFonts w:eastAsia="MS Mincho" w:cs="Arial"/>
          <w:iCs w:val="0"/>
          <w:noProof/>
          <w:szCs w:val="16"/>
          <w:lang w:val="es-ES_tradnl" w:eastAsia="ja-JP"/>
        </w:rPr>
      </w:pPr>
      <w:r w:rsidRPr="00CD186B">
        <w:rPr>
          <w:rFonts w:cs="Arial"/>
          <w:noProof/>
          <w:szCs w:val="16"/>
        </w:rPr>
        <w:t>1.3. Negocios en coaseguro</w:t>
      </w:r>
    </w:p>
    <w:p w14:paraId="23FC5B78" w14:textId="77777777" w:rsidR="009C17DE" w:rsidRPr="00CD186B" w:rsidRDefault="009C17DE" w:rsidP="009C17DE">
      <w:pPr>
        <w:pStyle w:val="TDC2"/>
        <w:rPr>
          <w:rFonts w:cs="Arial"/>
          <w:noProof/>
          <w:szCs w:val="16"/>
        </w:rPr>
      </w:pPr>
      <w:r w:rsidRPr="00CD186B">
        <w:rPr>
          <w:rFonts w:cs="Arial"/>
          <w:noProof/>
          <w:szCs w:val="16"/>
        </w:rPr>
        <w:t>1.4. Comisiones para el intermediario de seguros</w:t>
      </w:r>
    </w:p>
    <w:p w14:paraId="234DD2C0" w14:textId="77777777" w:rsidR="009C17DE" w:rsidRPr="00CD186B" w:rsidRDefault="009C17DE" w:rsidP="009C17DE">
      <w:pPr>
        <w:pStyle w:val="TDC2"/>
        <w:rPr>
          <w:rFonts w:cs="Arial"/>
          <w:noProof/>
          <w:szCs w:val="16"/>
        </w:rPr>
      </w:pPr>
      <w:r w:rsidRPr="00CD186B">
        <w:rPr>
          <w:rFonts w:cs="Arial"/>
          <w:noProof/>
          <w:szCs w:val="16"/>
        </w:rPr>
        <w:t>1.5. Financiación de primas</w:t>
      </w:r>
    </w:p>
    <w:p w14:paraId="7B9AE683" w14:textId="77777777" w:rsidR="009C17DE" w:rsidRPr="00CD186B" w:rsidRDefault="009C17DE" w:rsidP="009C17DE">
      <w:pPr>
        <w:pStyle w:val="TDC2"/>
        <w:rPr>
          <w:rFonts w:eastAsia="MS Mincho" w:cs="Arial"/>
          <w:iCs w:val="0"/>
          <w:noProof/>
          <w:szCs w:val="16"/>
          <w:lang w:val="es-ES_tradnl" w:eastAsia="ja-JP"/>
        </w:rPr>
      </w:pPr>
      <w:r w:rsidRPr="00CD186B">
        <w:rPr>
          <w:rFonts w:cs="Arial"/>
          <w:noProof/>
          <w:szCs w:val="16"/>
        </w:rPr>
        <w:t>1.6. Retención de riesgos, cesión y aceptación de reaseguros</w:t>
      </w:r>
    </w:p>
    <w:p w14:paraId="008A3CD5" w14:textId="77777777" w:rsidR="009C17DE" w:rsidRPr="00CD186B" w:rsidRDefault="009C17DE" w:rsidP="009C17DE">
      <w:pPr>
        <w:pStyle w:val="TDC2"/>
        <w:rPr>
          <w:rFonts w:eastAsia="MS Mincho" w:cs="Arial"/>
          <w:iCs w:val="0"/>
          <w:noProof/>
          <w:szCs w:val="16"/>
          <w:lang w:val="es-ES_tradnl" w:eastAsia="ja-JP"/>
        </w:rPr>
      </w:pPr>
      <w:r w:rsidRPr="00CD186B">
        <w:rPr>
          <w:rFonts w:cs="Arial"/>
          <w:noProof/>
          <w:szCs w:val="16"/>
        </w:rPr>
        <w:t>1.7. Prácticas inseguras en la contratación de seguros</w:t>
      </w:r>
    </w:p>
    <w:p w14:paraId="524C79FD" w14:textId="77777777" w:rsidR="009C17DE" w:rsidRPr="00CD186B" w:rsidRDefault="009C17DE" w:rsidP="009C17DE">
      <w:pPr>
        <w:pStyle w:val="TDC2"/>
        <w:rPr>
          <w:rFonts w:eastAsia="MS Mincho" w:cs="Arial"/>
          <w:iCs w:val="0"/>
          <w:noProof/>
          <w:szCs w:val="16"/>
          <w:lang w:val="es-ES_tradnl" w:eastAsia="ja-JP"/>
        </w:rPr>
      </w:pPr>
      <w:r w:rsidRPr="00CD186B">
        <w:rPr>
          <w:rFonts w:cs="Arial"/>
          <w:noProof/>
          <w:szCs w:val="16"/>
        </w:rPr>
        <w:t>1.8. Criterios y elementos mínimos de las notas técnicas</w:t>
      </w:r>
    </w:p>
    <w:p w14:paraId="5AF0CB1B" w14:textId="77777777" w:rsidR="009C17DE" w:rsidRPr="00CD186B" w:rsidRDefault="009C17DE" w:rsidP="009C17DE">
      <w:pPr>
        <w:pStyle w:val="TDC1"/>
        <w:tabs>
          <w:tab w:val="right" w:leader="dot" w:pos="8830"/>
        </w:tabs>
        <w:rPr>
          <w:rFonts w:eastAsia="MS Mincho" w:cs="Arial"/>
          <w:b w:val="0"/>
          <w:bCs w:val="0"/>
          <w:noProof/>
          <w:szCs w:val="16"/>
          <w:lang w:val="es-ES_tradnl" w:eastAsia="ja-JP"/>
        </w:rPr>
      </w:pPr>
      <w:r w:rsidRPr="00CD186B">
        <w:rPr>
          <w:rFonts w:cs="Arial"/>
          <w:bCs w:val="0"/>
          <w:noProof/>
          <w:szCs w:val="16"/>
        </w:rPr>
        <w:t>2. ASPECTOS FINANCIEROS LAS ENTIDADES ASEGURADORAS</w:t>
      </w:r>
    </w:p>
    <w:p w14:paraId="62ACBB33" w14:textId="77777777" w:rsidR="009C17DE" w:rsidRPr="00CD186B" w:rsidRDefault="009C17DE" w:rsidP="009C17DE">
      <w:pPr>
        <w:pStyle w:val="TDC2"/>
        <w:rPr>
          <w:rFonts w:eastAsia="MS Mincho" w:cs="Arial"/>
          <w:iCs w:val="0"/>
          <w:noProof/>
          <w:szCs w:val="16"/>
          <w:lang w:val="es-ES_tradnl" w:eastAsia="ja-JP"/>
        </w:rPr>
      </w:pPr>
      <w:r w:rsidRPr="00CD186B">
        <w:rPr>
          <w:rFonts w:cs="Arial"/>
          <w:noProof/>
          <w:szCs w:val="16"/>
        </w:rPr>
        <w:t>2.1. Régimen patrimonial</w:t>
      </w:r>
    </w:p>
    <w:p w14:paraId="17967F0D" w14:textId="77777777" w:rsidR="009C17DE" w:rsidRPr="00CD186B" w:rsidRDefault="009C17DE" w:rsidP="009C17DE">
      <w:pPr>
        <w:pStyle w:val="TDC2"/>
        <w:rPr>
          <w:rFonts w:eastAsia="MS Mincho" w:cs="Arial"/>
          <w:iCs w:val="0"/>
          <w:noProof/>
          <w:szCs w:val="16"/>
          <w:lang w:val="es-ES_tradnl" w:eastAsia="ja-JP"/>
        </w:rPr>
      </w:pPr>
      <w:r w:rsidRPr="00CD186B">
        <w:rPr>
          <w:rFonts w:cs="Arial"/>
          <w:noProof/>
          <w:szCs w:val="16"/>
        </w:rPr>
        <w:t>2.2. Reglas sobre el régimen de reservas técnicas y su inversión</w:t>
      </w:r>
    </w:p>
    <w:p w14:paraId="0394E24E" w14:textId="77777777" w:rsidR="009C17DE" w:rsidRPr="00CD186B" w:rsidRDefault="009C17DE" w:rsidP="009C17DE">
      <w:pPr>
        <w:pStyle w:val="TDC1"/>
        <w:tabs>
          <w:tab w:val="right" w:leader="dot" w:pos="8830"/>
        </w:tabs>
        <w:rPr>
          <w:rFonts w:eastAsia="MS Mincho" w:cs="Arial"/>
          <w:b w:val="0"/>
          <w:bCs w:val="0"/>
          <w:noProof/>
          <w:szCs w:val="16"/>
          <w:lang w:val="es-ES_tradnl" w:eastAsia="ja-JP"/>
        </w:rPr>
      </w:pPr>
      <w:r w:rsidRPr="00CD186B">
        <w:rPr>
          <w:rFonts w:cs="Arial"/>
          <w:bCs w:val="0"/>
          <w:noProof/>
          <w:szCs w:val="16"/>
        </w:rPr>
        <w:t>3. REGLAS PARTICULARES APLICABLES A CIERTOS RAMOS</w:t>
      </w:r>
    </w:p>
    <w:p w14:paraId="01BA6FE1" w14:textId="77777777" w:rsidR="009C17DE" w:rsidRPr="00CD186B" w:rsidRDefault="009C17DE" w:rsidP="009C17DE">
      <w:pPr>
        <w:pStyle w:val="TDC2"/>
        <w:rPr>
          <w:rFonts w:eastAsia="MS Mincho" w:cs="Arial"/>
          <w:iCs w:val="0"/>
          <w:noProof/>
          <w:szCs w:val="16"/>
          <w:lang w:val="es-ES_tradnl" w:eastAsia="ja-JP"/>
        </w:rPr>
      </w:pPr>
      <w:r w:rsidRPr="00CD186B">
        <w:rPr>
          <w:rFonts w:cs="Arial"/>
          <w:noProof/>
          <w:szCs w:val="16"/>
        </w:rPr>
        <w:t>3.1. Reglas aplicables al seguro obligatorio de daños corporales causados a las personas en accidentes de tránsito (SOAT)</w:t>
      </w:r>
      <w:r w:rsidRPr="00CD186B">
        <w:rPr>
          <w:rFonts w:eastAsia="MS Mincho" w:cs="Arial"/>
          <w:iCs w:val="0"/>
          <w:noProof/>
          <w:szCs w:val="16"/>
          <w:lang w:val="es-ES_tradnl" w:eastAsia="ja-JP"/>
        </w:rPr>
        <w:t xml:space="preserve"> </w:t>
      </w:r>
    </w:p>
    <w:p w14:paraId="6862BE49" w14:textId="77777777" w:rsidR="009C17DE" w:rsidRPr="00CD186B" w:rsidRDefault="009C17DE" w:rsidP="009C17DE">
      <w:pPr>
        <w:pStyle w:val="TDC2"/>
        <w:rPr>
          <w:rFonts w:eastAsia="MS Mincho" w:cs="Arial"/>
          <w:iCs w:val="0"/>
          <w:noProof/>
          <w:szCs w:val="16"/>
          <w:lang w:val="es-ES_tradnl" w:eastAsia="ja-JP"/>
        </w:rPr>
      </w:pPr>
      <w:r w:rsidRPr="00CD186B">
        <w:rPr>
          <w:rFonts w:cs="Arial"/>
          <w:noProof/>
          <w:szCs w:val="16"/>
        </w:rPr>
        <w:t>3.2. Reglas aplicables al seguro previsional de invalidez y sobrevivientes</w:t>
      </w:r>
    </w:p>
    <w:p w14:paraId="2F2AF587" w14:textId="77777777" w:rsidR="009C17DE" w:rsidRPr="00CD186B" w:rsidRDefault="009C17DE" w:rsidP="009C17DE">
      <w:pPr>
        <w:pStyle w:val="TDC2"/>
        <w:rPr>
          <w:rFonts w:eastAsia="MS Mincho" w:cs="Arial"/>
          <w:iCs w:val="0"/>
          <w:noProof/>
          <w:szCs w:val="16"/>
          <w:lang w:val="es-ES_tradnl" w:eastAsia="ja-JP"/>
        </w:rPr>
      </w:pPr>
      <w:r w:rsidRPr="00CD186B">
        <w:rPr>
          <w:rFonts w:cs="Arial"/>
          <w:noProof/>
          <w:szCs w:val="16"/>
        </w:rPr>
        <w:t>3.3. Reglas aplicables al ramo de seguro de pensiones Ley 100</w:t>
      </w:r>
    </w:p>
    <w:p w14:paraId="1E1A01F4" w14:textId="77777777" w:rsidR="009C17DE" w:rsidRPr="00CD186B" w:rsidRDefault="009C17DE" w:rsidP="009C17DE">
      <w:pPr>
        <w:pStyle w:val="TDC2"/>
        <w:rPr>
          <w:rFonts w:cs="Arial"/>
          <w:noProof/>
          <w:szCs w:val="16"/>
        </w:rPr>
      </w:pPr>
      <w:r w:rsidRPr="00CD186B">
        <w:rPr>
          <w:rFonts w:cs="Arial"/>
          <w:noProof/>
          <w:szCs w:val="16"/>
        </w:rPr>
        <w:t>3.4. Reglas aplicables al seguro de riesgos laborales</w:t>
      </w:r>
    </w:p>
    <w:p w14:paraId="66C9B32C" w14:textId="77777777" w:rsidR="009C17DE" w:rsidRPr="00CD186B" w:rsidRDefault="009C17DE" w:rsidP="009C17DE">
      <w:pPr>
        <w:pStyle w:val="TDC2"/>
        <w:rPr>
          <w:rFonts w:eastAsia="MS Mincho" w:cs="Arial"/>
          <w:iCs w:val="0"/>
          <w:noProof/>
          <w:szCs w:val="16"/>
          <w:lang w:val="es-ES_tradnl" w:eastAsia="ja-JP"/>
        </w:rPr>
      </w:pPr>
      <w:r w:rsidRPr="00CD186B">
        <w:rPr>
          <w:rFonts w:cs="Arial"/>
          <w:noProof/>
          <w:szCs w:val="16"/>
        </w:rPr>
        <w:t>3.5. Reglas aplicables al seguro de enfermedades de alto costo</w:t>
      </w:r>
    </w:p>
    <w:p w14:paraId="62EB8E67" w14:textId="77777777" w:rsidR="009C17DE" w:rsidRPr="00CD186B" w:rsidRDefault="009C17DE" w:rsidP="009C17DE">
      <w:pPr>
        <w:pStyle w:val="TDC2"/>
        <w:rPr>
          <w:rFonts w:eastAsia="MS Mincho" w:cs="Arial"/>
          <w:iCs w:val="0"/>
          <w:noProof/>
          <w:szCs w:val="16"/>
          <w:lang w:val="es-ES_tradnl" w:eastAsia="ja-JP"/>
        </w:rPr>
      </w:pPr>
      <w:r w:rsidRPr="00CD186B">
        <w:rPr>
          <w:rFonts w:cs="Arial"/>
          <w:noProof/>
          <w:szCs w:val="16"/>
        </w:rPr>
        <w:t>3.6. Reglas aplicables a los seguros de vida</w:t>
      </w:r>
    </w:p>
    <w:p w14:paraId="01C2E315" w14:textId="77777777" w:rsidR="009C17DE" w:rsidRPr="00CD186B" w:rsidRDefault="009C17DE" w:rsidP="009C17DE">
      <w:pPr>
        <w:pStyle w:val="TDC2"/>
        <w:rPr>
          <w:rFonts w:eastAsia="MS Mincho" w:cs="Arial"/>
          <w:iCs w:val="0"/>
          <w:noProof/>
          <w:szCs w:val="16"/>
          <w:lang w:val="es-ES_tradnl" w:eastAsia="ja-JP"/>
        </w:rPr>
      </w:pPr>
      <w:r w:rsidRPr="00CD186B">
        <w:rPr>
          <w:rFonts w:cs="Arial"/>
          <w:noProof/>
          <w:szCs w:val="16"/>
        </w:rPr>
        <w:t>3.7. Reglas especiales aplicables al ramo de pensiones con conmutación pensional</w:t>
      </w:r>
    </w:p>
    <w:p w14:paraId="2C8E520E" w14:textId="77777777" w:rsidR="009C17DE" w:rsidRPr="00CD186B" w:rsidRDefault="009C17DE" w:rsidP="009C17DE">
      <w:pPr>
        <w:pStyle w:val="TDC2"/>
        <w:rPr>
          <w:rFonts w:eastAsia="MS Mincho" w:cs="Arial"/>
          <w:iCs w:val="0"/>
          <w:noProof/>
          <w:szCs w:val="16"/>
          <w:lang w:val="es-ES_tradnl" w:eastAsia="ja-JP"/>
        </w:rPr>
      </w:pPr>
      <w:r w:rsidRPr="00CD186B">
        <w:rPr>
          <w:rFonts w:cs="Arial"/>
          <w:noProof/>
          <w:szCs w:val="16"/>
        </w:rPr>
        <w:t>3.8. Tablas de riesgos de vejez, invalidez y sobrevivencia</w:t>
      </w:r>
    </w:p>
    <w:p w14:paraId="6AEEAA1E" w14:textId="77777777" w:rsidR="009C17DE" w:rsidRPr="00CD186B" w:rsidRDefault="009C17DE" w:rsidP="009C17DE">
      <w:pPr>
        <w:pStyle w:val="TDC2"/>
        <w:rPr>
          <w:rFonts w:eastAsia="MS Mincho" w:cs="Arial"/>
          <w:iCs w:val="0"/>
          <w:noProof/>
          <w:szCs w:val="16"/>
          <w:lang w:val="es-ES_tradnl" w:eastAsia="ja-JP"/>
        </w:rPr>
      </w:pPr>
      <w:r w:rsidRPr="00CD186B">
        <w:rPr>
          <w:rFonts w:cs="Arial"/>
          <w:noProof/>
          <w:szCs w:val="16"/>
        </w:rPr>
        <w:t>3.9. Reglas aplicables al ramo de cumplimiento</w:t>
      </w:r>
    </w:p>
    <w:p w14:paraId="6101393B" w14:textId="77777777" w:rsidR="009C17DE" w:rsidRPr="00CD186B" w:rsidRDefault="009C17DE" w:rsidP="009C17DE">
      <w:pPr>
        <w:pStyle w:val="TDC2"/>
        <w:rPr>
          <w:rFonts w:eastAsia="MS Mincho" w:cs="Arial"/>
          <w:iCs w:val="0"/>
          <w:noProof/>
          <w:szCs w:val="16"/>
          <w:lang w:val="es-ES_tradnl" w:eastAsia="ja-JP"/>
        </w:rPr>
      </w:pPr>
      <w:r w:rsidRPr="00CD186B">
        <w:rPr>
          <w:rFonts w:cs="Arial"/>
          <w:noProof/>
          <w:szCs w:val="16"/>
        </w:rPr>
        <w:t>3.10. Reglas especiales aplicables al ramo de seguro de rentas voluntarias</w:t>
      </w:r>
    </w:p>
    <w:p w14:paraId="06FD81DA" w14:textId="77777777" w:rsidR="009C17DE" w:rsidRDefault="009C17DE" w:rsidP="009C17DE">
      <w:pPr>
        <w:pStyle w:val="TDC2"/>
        <w:rPr>
          <w:rFonts w:cs="Arial"/>
          <w:noProof/>
          <w:szCs w:val="16"/>
        </w:rPr>
      </w:pPr>
      <w:r w:rsidRPr="00CD186B">
        <w:rPr>
          <w:rFonts w:cs="Arial"/>
          <w:noProof/>
          <w:szCs w:val="16"/>
        </w:rPr>
        <w:t>3.11. Reglas aplicables al Seguro de Beneficios Económicos Periódicos - BEPS</w:t>
      </w:r>
    </w:p>
    <w:p w14:paraId="466B2D82" w14:textId="77777777" w:rsidR="009C17DE" w:rsidRPr="009C17DE" w:rsidRDefault="009C17DE" w:rsidP="009C17DE">
      <w:pPr>
        <w:pStyle w:val="TDC2"/>
        <w:rPr>
          <w:rFonts w:cs="Arial"/>
          <w:szCs w:val="16"/>
        </w:rPr>
      </w:pPr>
      <w:r w:rsidRPr="009C17DE">
        <w:rPr>
          <w:rFonts w:cs="Arial"/>
          <w:szCs w:val="16"/>
        </w:rPr>
        <w:t>3.12. Reglas aplicables a la póliza de seriedad de la candidatura</w:t>
      </w:r>
    </w:p>
    <w:p w14:paraId="18BDBF9A" w14:textId="77777777" w:rsidR="009C17DE" w:rsidRPr="009C17DE" w:rsidRDefault="009C17DE" w:rsidP="009C17DE">
      <w:pPr>
        <w:pStyle w:val="TDC2"/>
        <w:rPr>
          <w:rFonts w:cs="Arial"/>
          <w:noProof/>
          <w:szCs w:val="16"/>
        </w:rPr>
      </w:pPr>
      <w:r w:rsidRPr="009C17DE">
        <w:rPr>
          <w:rFonts w:cs="Arial"/>
          <w:szCs w:val="16"/>
        </w:rPr>
        <w:t>3.13. Reglas aplicables al seguro de terremoto</w:t>
      </w:r>
    </w:p>
    <w:p w14:paraId="426C3596" w14:textId="77777777" w:rsidR="009C17DE" w:rsidRPr="00CD186B" w:rsidRDefault="009C17DE" w:rsidP="009C17DE">
      <w:pPr>
        <w:pStyle w:val="TDC1"/>
        <w:tabs>
          <w:tab w:val="right" w:leader="dot" w:pos="8830"/>
        </w:tabs>
        <w:rPr>
          <w:rFonts w:eastAsia="MS Mincho" w:cs="Arial"/>
          <w:b w:val="0"/>
          <w:bCs w:val="0"/>
          <w:noProof/>
          <w:szCs w:val="16"/>
          <w:lang w:val="es-ES_tradnl" w:eastAsia="ja-JP"/>
        </w:rPr>
      </w:pPr>
      <w:r w:rsidRPr="00CD186B">
        <w:rPr>
          <w:rFonts w:cs="Arial"/>
          <w:bCs w:val="0"/>
          <w:noProof/>
          <w:szCs w:val="16"/>
        </w:rPr>
        <w:t>4. REGLAS RELATIVAS A OTRAS ACTIVIDADES DESARROLLADAS POR LAS ENTIDADES ASEGURADORAS</w:t>
      </w:r>
    </w:p>
    <w:p w14:paraId="4C508FA3" w14:textId="77777777" w:rsidR="009C17DE" w:rsidRPr="00CD186B" w:rsidRDefault="009C17DE" w:rsidP="009C17DE">
      <w:pPr>
        <w:pStyle w:val="TDC2"/>
        <w:rPr>
          <w:rFonts w:eastAsia="MS Mincho" w:cs="Arial"/>
          <w:iCs w:val="0"/>
          <w:noProof/>
          <w:szCs w:val="16"/>
          <w:lang w:val="es-ES_tradnl" w:eastAsia="ja-JP"/>
        </w:rPr>
      </w:pPr>
      <w:r w:rsidRPr="00CD186B">
        <w:rPr>
          <w:rFonts w:cs="Arial"/>
          <w:noProof/>
          <w:szCs w:val="16"/>
        </w:rPr>
        <w:t>4.1. Emisión de planes alternativos de pensiones</w:t>
      </w:r>
    </w:p>
    <w:p w14:paraId="49A33961" w14:textId="622C8C0C" w:rsidR="009C17DE" w:rsidRPr="00CD186B" w:rsidRDefault="009C17DE" w:rsidP="009C17DE">
      <w:pPr>
        <w:pStyle w:val="TDC2"/>
        <w:pBdr>
          <w:left w:val="single" w:sz="4" w:space="4" w:color="auto"/>
        </w:pBdr>
        <w:rPr>
          <w:rFonts w:eastAsia="MS Mincho" w:cs="Arial"/>
          <w:iCs w:val="0"/>
          <w:noProof/>
          <w:szCs w:val="16"/>
          <w:lang w:val="es-ES_tradnl" w:eastAsia="ja-JP"/>
        </w:rPr>
      </w:pPr>
      <w:r w:rsidRPr="00CD186B">
        <w:rPr>
          <w:rFonts w:cs="Arial"/>
          <w:noProof/>
          <w:szCs w:val="16"/>
        </w:rPr>
        <w:t xml:space="preserve">4.2. Administración de fondos </w:t>
      </w:r>
      <w:r w:rsidRPr="009C17DE">
        <w:rPr>
          <w:rFonts w:cs="Arial"/>
          <w:b/>
          <w:bCs/>
          <w:noProof/>
          <w:szCs w:val="16"/>
        </w:rPr>
        <w:t>de voluntarios de pensión</w:t>
      </w:r>
    </w:p>
    <w:p w14:paraId="15DD1DED" w14:textId="77777777" w:rsidR="009C17DE" w:rsidRPr="00CD186B" w:rsidRDefault="009C17DE" w:rsidP="009C17DE">
      <w:pPr>
        <w:pStyle w:val="TDC1"/>
        <w:tabs>
          <w:tab w:val="right" w:leader="dot" w:pos="8830"/>
        </w:tabs>
        <w:rPr>
          <w:rFonts w:eastAsia="MS Mincho" w:cs="Arial"/>
          <w:b w:val="0"/>
          <w:bCs w:val="0"/>
          <w:noProof/>
          <w:szCs w:val="16"/>
          <w:lang w:val="es-ES_tradnl" w:eastAsia="ja-JP"/>
        </w:rPr>
      </w:pPr>
      <w:r w:rsidRPr="00CD186B">
        <w:rPr>
          <w:rFonts w:cs="Arial"/>
          <w:bCs w:val="0"/>
          <w:noProof/>
          <w:szCs w:val="16"/>
        </w:rPr>
        <w:t>5. SUSCRIPCIÓN DE CONTRATOS DE ENCARGO FIDUCIARIO DE INVERSIÓN POR PARTE DE LAS ENTIDADES ASEGURADORAS</w:t>
      </w:r>
    </w:p>
    <w:p w14:paraId="5ED1BED9" w14:textId="77777777" w:rsidR="009C17DE" w:rsidRPr="00CD186B" w:rsidRDefault="009C17DE" w:rsidP="009C17DE">
      <w:pPr>
        <w:rPr>
          <w:rFonts w:eastAsia="MS Mincho" w:cs="Arial"/>
          <w:b/>
          <w:bCs/>
          <w:noProof/>
          <w:sz w:val="16"/>
          <w:szCs w:val="16"/>
          <w:lang w:val="es-ES_tradnl" w:eastAsia="ja-JP"/>
        </w:rPr>
      </w:pPr>
      <w:r w:rsidRPr="00CD186B">
        <w:rPr>
          <w:rFonts w:cs="Arial"/>
          <w:sz w:val="16"/>
          <w:szCs w:val="16"/>
        </w:rPr>
        <w:fldChar w:fldCharType="end"/>
      </w:r>
      <w:r w:rsidRPr="00CD186B">
        <w:rPr>
          <w:rFonts w:cs="Arial"/>
          <w:b/>
          <w:bCs/>
          <w:noProof/>
          <w:sz w:val="16"/>
          <w:szCs w:val="16"/>
        </w:rPr>
        <w:t>6. REGLAS RELACIONADAS CON</w:t>
      </w:r>
      <w:r w:rsidRPr="00CD186B">
        <w:rPr>
          <w:rFonts w:cs="Arial"/>
          <w:b/>
          <w:sz w:val="16"/>
          <w:szCs w:val="16"/>
        </w:rPr>
        <w:t xml:space="preserve"> EL ROL DE LOS ACTUARIOS DE LAS ENTIDADES ASEGURADORAS</w:t>
      </w:r>
    </w:p>
    <w:p w14:paraId="2F937C0D" w14:textId="77777777" w:rsidR="009C17DE" w:rsidRPr="00CD186B" w:rsidRDefault="009C17DE" w:rsidP="009C17DE">
      <w:pPr>
        <w:rPr>
          <w:rFonts w:cs="Arial"/>
          <w:b/>
          <w:sz w:val="16"/>
          <w:szCs w:val="16"/>
          <w:lang w:val="es-ES_tradnl"/>
        </w:rPr>
      </w:pPr>
    </w:p>
    <w:p w14:paraId="480AC3CE" w14:textId="77777777" w:rsidR="009C17DE" w:rsidRPr="00CD186B" w:rsidRDefault="009C17DE" w:rsidP="009C17DE">
      <w:pPr>
        <w:ind w:left="284"/>
        <w:rPr>
          <w:rFonts w:cs="Arial"/>
          <w:sz w:val="16"/>
          <w:szCs w:val="16"/>
          <w:lang w:val="es-ES_tradnl"/>
        </w:rPr>
      </w:pPr>
      <w:r w:rsidRPr="00CD186B">
        <w:rPr>
          <w:rFonts w:cs="Arial"/>
          <w:sz w:val="16"/>
          <w:szCs w:val="16"/>
          <w:lang w:val="es-ES_tradnl"/>
        </w:rPr>
        <w:t>6.1. Definiciones</w:t>
      </w:r>
    </w:p>
    <w:p w14:paraId="6006A1CE" w14:textId="77777777" w:rsidR="009C17DE" w:rsidRPr="00CD186B" w:rsidRDefault="009C17DE" w:rsidP="009C17DE">
      <w:pPr>
        <w:ind w:left="284"/>
        <w:rPr>
          <w:rFonts w:cs="Arial"/>
          <w:sz w:val="16"/>
          <w:szCs w:val="16"/>
          <w:lang w:val="es-ES_tradnl"/>
        </w:rPr>
      </w:pPr>
      <w:r w:rsidRPr="00CD186B">
        <w:rPr>
          <w:rFonts w:cs="Arial"/>
          <w:sz w:val="16"/>
          <w:szCs w:val="16"/>
          <w:lang w:val="es-ES_tradnl"/>
        </w:rPr>
        <w:t>6.2. Actuario Responsable</w:t>
      </w:r>
    </w:p>
    <w:p w14:paraId="797A5238" w14:textId="77777777" w:rsidR="009C17DE" w:rsidRPr="00CD186B" w:rsidRDefault="009C17DE" w:rsidP="009C17DE">
      <w:pPr>
        <w:ind w:left="284"/>
        <w:rPr>
          <w:rFonts w:cs="Arial"/>
          <w:sz w:val="16"/>
          <w:szCs w:val="16"/>
          <w:lang w:val="es-ES_tradnl"/>
        </w:rPr>
      </w:pPr>
      <w:r w:rsidRPr="00CD186B">
        <w:rPr>
          <w:rFonts w:cs="Arial"/>
          <w:sz w:val="16"/>
          <w:szCs w:val="16"/>
          <w:lang w:val="es-ES_tradnl"/>
        </w:rPr>
        <w:t>6.3. Requisitos para la certificación de suficiencia de las reservas técnicas</w:t>
      </w:r>
    </w:p>
    <w:p w14:paraId="64B12E3F" w14:textId="77777777" w:rsidR="009C17DE" w:rsidRPr="00CD186B" w:rsidRDefault="009C17DE" w:rsidP="009C17DE">
      <w:pPr>
        <w:rPr>
          <w:rFonts w:cs="Arial"/>
          <w:sz w:val="16"/>
          <w:szCs w:val="16"/>
        </w:rPr>
      </w:pPr>
    </w:p>
    <w:p w14:paraId="7C48031F" w14:textId="77777777" w:rsidR="009C17DE" w:rsidRPr="00CD186B" w:rsidRDefault="009C17DE" w:rsidP="009C17DE">
      <w:pPr>
        <w:jc w:val="both"/>
        <w:rPr>
          <w:rFonts w:cs="Arial"/>
          <w:b/>
          <w:sz w:val="16"/>
          <w:szCs w:val="16"/>
        </w:rPr>
      </w:pPr>
      <w:r w:rsidRPr="00CD186B">
        <w:rPr>
          <w:rFonts w:cs="Arial"/>
          <w:b/>
          <w:bCs/>
          <w:noProof/>
          <w:sz w:val="16"/>
          <w:szCs w:val="16"/>
        </w:rPr>
        <w:t xml:space="preserve">7. </w:t>
      </w:r>
      <w:r w:rsidRPr="00CD186B">
        <w:rPr>
          <w:rFonts w:cs="Arial"/>
          <w:b/>
          <w:sz w:val="16"/>
          <w:szCs w:val="16"/>
        </w:rPr>
        <w:t>INSTRUCCIONES RELATIVAS A LA IDONEIDAD DE PERSONAS NATURALES QUE EJERCEN LA INTERMEDIACIÓN DE SEGUROS</w:t>
      </w:r>
    </w:p>
    <w:p w14:paraId="71ACAD1A" w14:textId="77777777" w:rsidR="009C17DE" w:rsidRPr="00CD186B" w:rsidRDefault="009C17DE" w:rsidP="009C17DE">
      <w:pPr>
        <w:jc w:val="both"/>
        <w:rPr>
          <w:rFonts w:eastAsia="MS Mincho" w:cs="Arial"/>
          <w:bCs/>
          <w:noProof/>
          <w:sz w:val="16"/>
          <w:szCs w:val="16"/>
          <w:lang w:val="es-ES_tradnl" w:eastAsia="ja-JP"/>
        </w:rPr>
      </w:pPr>
    </w:p>
    <w:p w14:paraId="0879AD91" w14:textId="77777777" w:rsidR="009C17DE" w:rsidRPr="00CD186B" w:rsidRDefault="009C17DE" w:rsidP="009C17DE">
      <w:pPr>
        <w:ind w:left="284"/>
        <w:rPr>
          <w:rFonts w:cs="Arial"/>
          <w:sz w:val="16"/>
          <w:szCs w:val="16"/>
          <w:lang w:val="es-ES_tradnl"/>
        </w:rPr>
      </w:pPr>
      <w:r w:rsidRPr="00CD186B">
        <w:rPr>
          <w:rFonts w:cs="Arial"/>
          <w:sz w:val="16"/>
          <w:szCs w:val="16"/>
          <w:lang w:val="es-ES_tradnl"/>
        </w:rPr>
        <w:t>7.1. Ámbito de aplicación</w:t>
      </w:r>
    </w:p>
    <w:p w14:paraId="3F04558A" w14:textId="77777777" w:rsidR="009C17DE" w:rsidRPr="00CD186B" w:rsidRDefault="009C17DE" w:rsidP="009C17DE">
      <w:pPr>
        <w:ind w:left="284"/>
        <w:rPr>
          <w:rFonts w:cs="Arial"/>
          <w:sz w:val="16"/>
          <w:szCs w:val="16"/>
          <w:lang w:val="es-ES_tradnl"/>
        </w:rPr>
      </w:pPr>
      <w:r w:rsidRPr="00CD186B">
        <w:rPr>
          <w:rFonts w:cs="Arial"/>
          <w:sz w:val="16"/>
          <w:szCs w:val="16"/>
          <w:lang w:val="es-ES_tradnl"/>
        </w:rPr>
        <w:t>7.2. Acreditación de idoneidad</w:t>
      </w:r>
    </w:p>
    <w:p w14:paraId="24525C03" w14:textId="77777777" w:rsidR="009C17DE" w:rsidRPr="00CD186B" w:rsidRDefault="009C17DE" w:rsidP="009C17DE">
      <w:pPr>
        <w:ind w:left="284"/>
        <w:rPr>
          <w:rFonts w:cs="Arial"/>
          <w:sz w:val="16"/>
          <w:szCs w:val="16"/>
        </w:rPr>
      </w:pPr>
      <w:r w:rsidRPr="00CD186B">
        <w:rPr>
          <w:rFonts w:cs="Arial"/>
          <w:sz w:val="16"/>
          <w:szCs w:val="16"/>
          <w:lang w:val="es-ES_tradnl"/>
        </w:rPr>
        <w:t xml:space="preserve">7.3. </w:t>
      </w:r>
      <w:r w:rsidRPr="00CD186B">
        <w:rPr>
          <w:rFonts w:cs="Arial"/>
          <w:sz w:val="16"/>
          <w:szCs w:val="16"/>
        </w:rPr>
        <w:t>Responsabilidades de la junta directiva</w:t>
      </w:r>
    </w:p>
    <w:p w14:paraId="04F3BD15" w14:textId="418F8DE0" w:rsidR="003735C3" w:rsidRPr="009C17DE" w:rsidRDefault="009C17DE" w:rsidP="009C17DE">
      <w:pPr>
        <w:ind w:left="284"/>
        <w:rPr>
          <w:rFonts w:cs="Arial"/>
          <w:sz w:val="16"/>
          <w:szCs w:val="16"/>
          <w:lang w:val="es-ES_tradnl"/>
        </w:rPr>
      </w:pPr>
      <w:r w:rsidRPr="00CD186B">
        <w:rPr>
          <w:rFonts w:cs="Arial"/>
          <w:sz w:val="16"/>
          <w:szCs w:val="16"/>
          <w:lang w:val="es-ES_tradnl"/>
        </w:rPr>
        <w:t>7.4. Documentación</w:t>
      </w:r>
    </w:p>
    <w:p w14:paraId="202B176D" w14:textId="77777777" w:rsidR="003735C3" w:rsidRDefault="003735C3" w:rsidP="00DC6CF3">
      <w:pPr>
        <w:tabs>
          <w:tab w:val="left" w:pos="0"/>
          <w:tab w:val="left" w:pos="720"/>
        </w:tabs>
        <w:ind w:right="51"/>
        <w:jc w:val="both"/>
        <w:rPr>
          <w:rFonts w:cs="Arial"/>
          <w:sz w:val="16"/>
          <w:szCs w:val="16"/>
        </w:rPr>
      </w:pPr>
    </w:p>
    <w:p w14:paraId="3D89486E" w14:textId="15A96F9A" w:rsidR="003735C3" w:rsidRDefault="003735C3" w:rsidP="00DC6CF3">
      <w:pPr>
        <w:tabs>
          <w:tab w:val="left" w:pos="0"/>
          <w:tab w:val="left" w:pos="720"/>
        </w:tabs>
        <w:ind w:right="51"/>
        <w:jc w:val="both"/>
        <w:rPr>
          <w:rFonts w:cs="Arial"/>
          <w:sz w:val="16"/>
          <w:szCs w:val="16"/>
        </w:rPr>
        <w:sectPr w:rsidR="003735C3" w:rsidSect="00B269D7">
          <w:headerReference w:type="default" r:id="rId11"/>
          <w:footerReference w:type="default" r:id="rId12"/>
          <w:headerReference w:type="first" r:id="rId13"/>
          <w:footerReference w:type="first" r:id="rId14"/>
          <w:pgSz w:w="12240" w:h="18720" w:code="257"/>
          <w:pgMar w:top="1417" w:right="1701" w:bottom="1417" w:left="1701" w:header="709" w:footer="865" w:gutter="0"/>
          <w:pgNumType w:start="31"/>
          <w:cols w:space="708"/>
          <w:docGrid w:linePitch="360"/>
        </w:sectPr>
      </w:pPr>
    </w:p>
    <w:p w14:paraId="3BB6ED5C" w14:textId="4C965009" w:rsidR="00DC6CF3" w:rsidRPr="00CD186B" w:rsidRDefault="00DC6CF3" w:rsidP="00DC6CF3">
      <w:pPr>
        <w:tabs>
          <w:tab w:val="left" w:pos="0"/>
          <w:tab w:val="left" w:pos="720"/>
        </w:tabs>
        <w:ind w:right="51"/>
        <w:jc w:val="both"/>
        <w:rPr>
          <w:rFonts w:cs="Arial"/>
          <w:sz w:val="16"/>
          <w:szCs w:val="16"/>
        </w:rPr>
      </w:pPr>
      <w:r w:rsidRPr="00CD186B">
        <w:rPr>
          <w:rFonts w:cs="Arial"/>
          <w:sz w:val="16"/>
          <w:szCs w:val="16"/>
        </w:rPr>
        <w:lastRenderedPageBreak/>
        <w:t>4.1.2.3. Determinación del momento a partir del cual se devenga la pensión de acuerdo con la naturaleza del riesgo.</w:t>
      </w:r>
    </w:p>
    <w:p w14:paraId="73BCB703" w14:textId="77777777" w:rsidR="00DC6CF3" w:rsidRPr="00CD186B" w:rsidRDefault="00DC6CF3" w:rsidP="00DC6CF3">
      <w:pPr>
        <w:tabs>
          <w:tab w:val="left" w:pos="0"/>
          <w:tab w:val="left" w:pos="720"/>
        </w:tabs>
        <w:ind w:right="-232"/>
        <w:jc w:val="both"/>
        <w:rPr>
          <w:rFonts w:cs="Arial"/>
          <w:sz w:val="16"/>
          <w:szCs w:val="16"/>
        </w:rPr>
      </w:pPr>
    </w:p>
    <w:p w14:paraId="29C5F111" w14:textId="77777777" w:rsidR="00DC6CF3" w:rsidRPr="00CD186B" w:rsidRDefault="00DC6CF3" w:rsidP="00DC6CF3">
      <w:pPr>
        <w:tabs>
          <w:tab w:val="left" w:pos="720"/>
          <w:tab w:val="left" w:pos="1064"/>
          <w:tab w:val="left" w:pos="2057"/>
        </w:tabs>
        <w:ind w:right="51"/>
        <w:jc w:val="both"/>
        <w:rPr>
          <w:rFonts w:cs="Arial"/>
          <w:b/>
          <w:sz w:val="16"/>
          <w:szCs w:val="16"/>
        </w:rPr>
      </w:pPr>
      <w:r w:rsidRPr="00CD186B">
        <w:rPr>
          <w:rFonts w:cs="Arial"/>
          <w:sz w:val="16"/>
          <w:szCs w:val="16"/>
        </w:rPr>
        <w:t>4.1.2.4. Las condiciones de pago de la pensión. En el evento de que se estipulen cuotas periódicas, deben precisarse las fechas en que se realizarán los pagos.</w:t>
      </w:r>
      <w:r w:rsidRPr="00CD186B" w:rsidDel="00D33912">
        <w:rPr>
          <w:rFonts w:cs="Arial"/>
          <w:sz w:val="16"/>
          <w:szCs w:val="16"/>
        </w:rPr>
        <w:t xml:space="preserve"> </w:t>
      </w:r>
    </w:p>
    <w:p w14:paraId="29BDE022" w14:textId="77777777" w:rsidR="00DC6CF3" w:rsidRPr="00CD186B" w:rsidRDefault="00DC6CF3" w:rsidP="009C17DE">
      <w:pPr>
        <w:tabs>
          <w:tab w:val="left" w:pos="0"/>
          <w:tab w:val="left" w:pos="720"/>
        </w:tabs>
        <w:ind w:right="51"/>
        <w:jc w:val="both"/>
        <w:rPr>
          <w:rFonts w:cs="Arial"/>
          <w:b/>
          <w:sz w:val="16"/>
          <w:szCs w:val="16"/>
        </w:rPr>
      </w:pPr>
    </w:p>
    <w:p w14:paraId="744C52B6" w14:textId="6F593A33" w:rsidR="00DC6CF3" w:rsidRPr="00CD186B" w:rsidRDefault="00DC6CF3" w:rsidP="009C17DE">
      <w:pPr>
        <w:pStyle w:val="Ttulo2"/>
        <w:pBdr>
          <w:left w:val="single" w:sz="4" w:space="1" w:color="auto"/>
        </w:pBdr>
        <w:jc w:val="both"/>
        <w:rPr>
          <w:szCs w:val="16"/>
        </w:rPr>
      </w:pPr>
      <w:bookmarkStart w:id="0" w:name="_Toc269950179"/>
      <w:r w:rsidRPr="00CD186B">
        <w:rPr>
          <w:szCs w:val="16"/>
        </w:rPr>
        <w:t xml:space="preserve">4.2. Administración de fondos </w:t>
      </w:r>
      <w:bookmarkEnd w:id="0"/>
      <w:r w:rsidR="006B162B">
        <w:rPr>
          <w:szCs w:val="16"/>
        </w:rPr>
        <w:t xml:space="preserve">voluntarios de pensión. </w:t>
      </w:r>
    </w:p>
    <w:p w14:paraId="2F0E1292" w14:textId="77777777" w:rsidR="00DC6CF3" w:rsidRPr="00CD186B" w:rsidRDefault="00DC6CF3" w:rsidP="009C17DE">
      <w:pPr>
        <w:pBdr>
          <w:left w:val="single" w:sz="4" w:space="1" w:color="auto"/>
        </w:pBdr>
        <w:tabs>
          <w:tab w:val="left" w:pos="720"/>
          <w:tab w:val="left" w:pos="1064"/>
          <w:tab w:val="left" w:pos="2057"/>
        </w:tabs>
        <w:ind w:right="356"/>
        <w:jc w:val="both"/>
        <w:rPr>
          <w:rFonts w:cs="Arial"/>
          <w:sz w:val="16"/>
          <w:szCs w:val="16"/>
        </w:rPr>
      </w:pPr>
    </w:p>
    <w:p w14:paraId="49EB27A8" w14:textId="085DBBE1" w:rsidR="00DC6CF3" w:rsidRPr="00CD186B" w:rsidRDefault="00DC6CF3" w:rsidP="009C17DE">
      <w:pPr>
        <w:pBdr>
          <w:left w:val="single" w:sz="4" w:space="1" w:color="auto"/>
        </w:pBdr>
        <w:tabs>
          <w:tab w:val="left" w:pos="0"/>
          <w:tab w:val="left" w:pos="720"/>
        </w:tabs>
        <w:jc w:val="both"/>
        <w:rPr>
          <w:rFonts w:cs="Arial"/>
          <w:sz w:val="16"/>
          <w:szCs w:val="16"/>
        </w:rPr>
      </w:pPr>
      <w:r w:rsidRPr="00CD186B">
        <w:rPr>
          <w:rFonts w:cs="Arial"/>
          <w:sz w:val="16"/>
          <w:szCs w:val="16"/>
        </w:rPr>
        <w:t>Las entidades aseguradoras que</w:t>
      </w:r>
      <w:r w:rsidR="00E92C56">
        <w:rPr>
          <w:rFonts w:cs="Arial"/>
          <w:sz w:val="16"/>
          <w:szCs w:val="16"/>
        </w:rPr>
        <w:t>,</w:t>
      </w:r>
      <w:r w:rsidRPr="00CD186B">
        <w:rPr>
          <w:rFonts w:cs="Arial"/>
          <w:sz w:val="16"/>
          <w:szCs w:val="16"/>
        </w:rPr>
        <w:t xml:space="preserve"> de acuerdo con lo dispuesto en </w:t>
      </w:r>
      <w:r w:rsidR="00E92C56" w:rsidRPr="00E92C56">
        <w:rPr>
          <w:rFonts w:cs="Arial"/>
          <w:b/>
          <w:bCs/>
          <w:sz w:val="16"/>
          <w:szCs w:val="16"/>
        </w:rPr>
        <w:t>el Libro 42 a la Parte 2 del Decreto 2555 de 2010</w:t>
      </w:r>
      <w:r w:rsidR="00E92C56">
        <w:rPr>
          <w:rFonts w:cs="Arial"/>
          <w:sz w:val="16"/>
          <w:szCs w:val="16"/>
        </w:rPr>
        <w:t>,</w:t>
      </w:r>
      <w:r w:rsidRPr="00CD186B">
        <w:rPr>
          <w:rFonts w:cs="Arial"/>
          <w:sz w:val="16"/>
          <w:szCs w:val="16"/>
        </w:rPr>
        <w:t xml:space="preserve"> estén autorizadas para administrar fondos </w:t>
      </w:r>
      <w:r w:rsidR="00020168">
        <w:rPr>
          <w:rFonts w:cs="Arial"/>
          <w:sz w:val="16"/>
          <w:szCs w:val="16"/>
        </w:rPr>
        <w:t xml:space="preserve">voluntarios de </w:t>
      </w:r>
      <w:r w:rsidR="00B9377C">
        <w:rPr>
          <w:rFonts w:cs="Arial"/>
          <w:sz w:val="16"/>
          <w:szCs w:val="16"/>
        </w:rPr>
        <w:t>pensión</w:t>
      </w:r>
      <w:r w:rsidRPr="00CD186B">
        <w:rPr>
          <w:rFonts w:cs="Arial"/>
          <w:sz w:val="16"/>
          <w:szCs w:val="16"/>
        </w:rPr>
        <w:t xml:space="preserve"> deben atender las instrucciones </w:t>
      </w:r>
      <w:r w:rsidR="00020168" w:rsidRPr="00B9377C">
        <w:rPr>
          <w:rFonts w:cs="Arial"/>
          <w:b/>
          <w:bCs/>
          <w:sz w:val="16"/>
          <w:szCs w:val="16"/>
        </w:rPr>
        <w:t xml:space="preserve">incorporadas en el </w:t>
      </w:r>
      <w:r w:rsidR="00B9377C" w:rsidRPr="00B9377C">
        <w:rPr>
          <w:rFonts w:cs="Arial"/>
          <w:b/>
          <w:bCs/>
          <w:sz w:val="16"/>
          <w:szCs w:val="16"/>
        </w:rPr>
        <w:t>Capítulo VI del Título III de la Parte II de la presente Circular.</w:t>
      </w:r>
    </w:p>
    <w:p w14:paraId="5D5D2FD9" w14:textId="77777777" w:rsidR="00DC6CF3" w:rsidRPr="00CD186B" w:rsidRDefault="00DC6CF3" w:rsidP="00B9377C">
      <w:pPr>
        <w:pBdr>
          <w:left w:val="single" w:sz="4" w:space="1" w:color="auto"/>
        </w:pBdr>
        <w:tabs>
          <w:tab w:val="left" w:pos="0"/>
          <w:tab w:val="left" w:pos="720"/>
        </w:tabs>
        <w:jc w:val="both"/>
        <w:rPr>
          <w:rFonts w:cs="Arial"/>
          <w:sz w:val="16"/>
          <w:szCs w:val="16"/>
        </w:rPr>
      </w:pPr>
    </w:p>
    <w:p w14:paraId="5B016D2D" w14:textId="0E49B021" w:rsidR="00DC6CF3" w:rsidRDefault="00DC6CF3" w:rsidP="00B9377C">
      <w:pPr>
        <w:pBdr>
          <w:left w:val="single" w:sz="4" w:space="1" w:color="auto"/>
        </w:pBdr>
        <w:tabs>
          <w:tab w:val="left" w:pos="0"/>
          <w:tab w:val="left" w:pos="720"/>
        </w:tabs>
        <w:jc w:val="both"/>
        <w:rPr>
          <w:rFonts w:cs="Arial"/>
          <w:sz w:val="16"/>
          <w:szCs w:val="16"/>
        </w:rPr>
      </w:pPr>
    </w:p>
    <w:p w14:paraId="3BF699CF" w14:textId="7E778066" w:rsidR="00E92C56" w:rsidRDefault="00E92C56" w:rsidP="00B9377C">
      <w:pPr>
        <w:pBdr>
          <w:left w:val="single" w:sz="4" w:space="1" w:color="auto"/>
        </w:pBdr>
        <w:tabs>
          <w:tab w:val="left" w:pos="0"/>
          <w:tab w:val="left" w:pos="720"/>
        </w:tabs>
        <w:jc w:val="both"/>
        <w:rPr>
          <w:rFonts w:cs="Arial"/>
          <w:sz w:val="16"/>
          <w:szCs w:val="16"/>
        </w:rPr>
      </w:pPr>
    </w:p>
    <w:p w14:paraId="4985BFF7" w14:textId="2B224AC3" w:rsidR="00E92C56" w:rsidRDefault="00E92C56" w:rsidP="00B9377C">
      <w:pPr>
        <w:pBdr>
          <w:left w:val="single" w:sz="4" w:space="1" w:color="auto"/>
        </w:pBdr>
        <w:tabs>
          <w:tab w:val="left" w:pos="0"/>
          <w:tab w:val="left" w:pos="720"/>
        </w:tabs>
        <w:jc w:val="both"/>
        <w:rPr>
          <w:rFonts w:cs="Arial"/>
          <w:sz w:val="16"/>
          <w:szCs w:val="16"/>
        </w:rPr>
      </w:pPr>
    </w:p>
    <w:p w14:paraId="5D9AE11F" w14:textId="77777777" w:rsidR="00E92C56" w:rsidRDefault="00E92C56" w:rsidP="00B9377C">
      <w:pPr>
        <w:pBdr>
          <w:left w:val="single" w:sz="4" w:space="1" w:color="auto"/>
        </w:pBdr>
        <w:tabs>
          <w:tab w:val="left" w:pos="0"/>
          <w:tab w:val="left" w:pos="720"/>
        </w:tabs>
        <w:jc w:val="both"/>
        <w:rPr>
          <w:rFonts w:cs="Arial"/>
          <w:sz w:val="16"/>
          <w:szCs w:val="16"/>
        </w:rPr>
      </w:pPr>
    </w:p>
    <w:p w14:paraId="60C62CEA" w14:textId="77777777" w:rsidR="00DC6CF3" w:rsidRDefault="00DC6CF3" w:rsidP="00DC6CF3">
      <w:pPr>
        <w:tabs>
          <w:tab w:val="left" w:pos="0"/>
          <w:tab w:val="left" w:pos="720"/>
        </w:tabs>
        <w:jc w:val="both"/>
        <w:rPr>
          <w:rFonts w:cs="Arial"/>
          <w:sz w:val="16"/>
          <w:szCs w:val="16"/>
        </w:rPr>
      </w:pPr>
    </w:p>
    <w:p w14:paraId="38AA1F70" w14:textId="77777777" w:rsidR="00DC6CF3" w:rsidRDefault="00DC6CF3" w:rsidP="00DC6CF3">
      <w:pPr>
        <w:pStyle w:val="Ttulo1"/>
        <w:spacing w:before="0" w:after="0"/>
        <w:jc w:val="both"/>
        <w:rPr>
          <w:bCs w:val="0"/>
          <w:szCs w:val="16"/>
        </w:rPr>
      </w:pPr>
      <w:bookmarkStart w:id="1" w:name="_Toc269950180"/>
    </w:p>
    <w:p w14:paraId="7184DF28" w14:textId="77777777" w:rsidR="00DC6CF3" w:rsidRPr="00CD186B" w:rsidRDefault="00DC6CF3" w:rsidP="00DC6CF3">
      <w:pPr>
        <w:pStyle w:val="Ttulo1"/>
        <w:spacing w:before="0" w:after="0"/>
        <w:jc w:val="both"/>
        <w:rPr>
          <w:bCs w:val="0"/>
          <w:szCs w:val="16"/>
        </w:rPr>
      </w:pPr>
      <w:r w:rsidRPr="00CD186B">
        <w:rPr>
          <w:bCs w:val="0"/>
          <w:szCs w:val="16"/>
        </w:rPr>
        <w:t>5. SUSCRIPCIÓN DE CONTRATOS DE ENCARGO FIDUCIARIO DE INVERSIÓN POR PARTE DE LAS ENTIDADES ASEGURADORAS</w:t>
      </w:r>
      <w:bookmarkEnd w:id="1"/>
    </w:p>
    <w:p w14:paraId="1171E8B6" w14:textId="77777777" w:rsidR="00DC6CF3" w:rsidRPr="00CD186B" w:rsidRDefault="00DC6CF3" w:rsidP="00DC6CF3">
      <w:pPr>
        <w:tabs>
          <w:tab w:val="left" w:pos="720"/>
          <w:tab w:val="left" w:pos="1064"/>
          <w:tab w:val="left" w:pos="2057"/>
        </w:tabs>
        <w:ind w:right="356"/>
        <w:jc w:val="both"/>
        <w:rPr>
          <w:rFonts w:cs="Arial"/>
          <w:b/>
          <w:sz w:val="16"/>
          <w:szCs w:val="16"/>
        </w:rPr>
      </w:pPr>
      <w:r w:rsidRPr="00CD186B">
        <w:rPr>
          <w:rFonts w:cs="Arial"/>
          <w:b/>
          <w:sz w:val="16"/>
          <w:szCs w:val="16"/>
        </w:rPr>
        <w:t> </w:t>
      </w:r>
    </w:p>
    <w:p w14:paraId="59F9463D" w14:textId="77777777" w:rsidR="00DC6CF3" w:rsidRDefault="00DC6CF3" w:rsidP="00DC6CF3">
      <w:pPr>
        <w:tabs>
          <w:tab w:val="left" w:pos="720"/>
          <w:tab w:val="left" w:pos="1064"/>
          <w:tab w:val="left" w:pos="2057"/>
        </w:tabs>
        <w:ind w:right="51"/>
        <w:jc w:val="both"/>
        <w:rPr>
          <w:rFonts w:cs="Arial"/>
          <w:sz w:val="16"/>
          <w:szCs w:val="16"/>
        </w:rPr>
      </w:pPr>
      <w:r w:rsidRPr="00CD186B">
        <w:rPr>
          <w:rFonts w:cs="Arial"/>
          <w:sz w:val="16"/>
          <w:szCs w:val="16"/>
        </w:rPr>
        <w:t>Las entidades aseguradoras pueden suscribir contratos de encargo fiduciario de inversión con las sociedades fiduciarias legalmente constituidas, para la ejecución de operaciones relacionadas con sus portafolios de inversión</w:t>
      </w:r>
      <w:r>
        <w:rPr>
          <w:rFonts w:cs="Arial"/>
          <w:sz w:val="16"/>
          <w:szCs w:val="16"/>
        </w:rPr>
        <w:t>.</w:t>
      </w:r>
    </w:p>
    <w:p w14:paraId="4B086DDF" w14:textId="77777777" w:rsidR="00DC6CF3" w:rsidRDefault="00DC6CF3" w:rsidP="00DC6CF3">
      <w:pPr>
        <w:tabs>
          <w:tab w:val="left" w:pos="720"/>
          <w:tab w:val="left" w:pos="1064"/>
          <w:tab w:val="left" w:pos="2057"/>
        </w:tabs>
        <w:ind w:right="51"/>
        <w:jc w:val="both"/>
        <w:rPr>
          <w:rFonts w:cs="Arial"/>
          <w:sz w:val="16"/>
          <w:szCs w:val="16"/>
        </w:rPr>
      </w:pPr>
    </w:p>
    <w:p w14:paraId="1D6BEA71" w14:textId="77777777" w:rsidR="00DC6CF3" w:rsidRDefault="00DC6CF3" w:rsidP="00DC6CF3">
      <w:pPr>
        <w:tabs>
          <w:tab w:val="left" w:pos="720"/>
          <w:tab w:val="left" w:pos="1064"/>
          <w:tab w:val="left" w:pos="2057"/>
        </w:tabs>
        <w:ind w:right="51"/>
        <w:jc w:val="both"/>
        <w:rPr>
          <w:rFonts w:cs="Arial"/>
          <w:sz w:val="16"/>
          <w:szCs w:val="16"/>
        </w:rPr>
      </w:pPr>
      <w:r w:rsidRPr="00BB7760">
        <w:rPr>
          <w:rFonts w:cs="Arial"/>
          <w:sz w:val="16"/>
          <w:szCs w:val="16"/>
        </w:rPr>
        <w:t xml:space="preserve"> </w:t>
      </w:r>
      <w:r w:rsidRPr="00CD186B">
        <w:rPr>
          <w:rFonts w:cs="Arial"/>
          <w:sz w:val="16"/>
          <w:szCs w:val="16"/>
        </w:rPr>
        <w:t xml:space="preserve">El contrato de encargo fiduciario de inversión, debe contemplar dentro de sus cláusulas claramente la responsabilidad de </w:t>
      </w:r>
      <w:proofErr w:type="gramStart"/>
      <w:r w:rsidRPr="00CD186B">
        <w:rPr>
          <w:rFonts w:cs="Arial"/>
          <w:sz w:val="16"/>
          <w:szCs w:val="16"/>
        </w:rPr>
        <w:t>la  aseguradora</w:t>
      </w:r>
      <w:proofErr w:type="gramEnd"/>
      <w:r w:rsidRPr="00CD186B">
        <w:rPr>
          <w:rFonts w:cs="Arial"/>
          <w:sz w:val="16"/>
          <w:szCs w:val="16"/>
        </w:rPr>
        <w:t xml:space="preserve"> en lo relacionado con la definición privativa de las políticas en materia de administración de riesgos de mercado, así como aquellas tendientes al seguimiento, análisis y evaluación de la gestión del portafolio por la sociedad fiduciaria. Igualmente, si el contrato comprende dentro de su objeto la ejecución de operaciones relacionadas con los portafolios a través de los cuales se respaldan las reservas técnicas de la entidad aseguradora, es menester pactar expresamente que el régimen de inversión de los </w:t>
      </w:r>
      <w:proofErr w:type="gramStart"/>
      <w:r w:rsidRPr="00CD186B">
        <w:rPr>
          <w:rFonts w:cs="Arial"/>
          <w:sz w:val="16"/>
          <w:szCs w:val="16"/>
        </w:rPr>
        <w:t>mismos,</w:t>
      </w:r>
      <w:proofErr w:type="gramEnd"/>
      <w:r w:rsidRPr="00CD186B">
        <w:rPr>
          <w:rFonts w:cs="Arial"/>
          <w:sz w:val="16"/>
          <w:szCs w:val="16"/>
        </w:rPr>
        <w:t xml:space="preserve"> sea el previsto en los arts. 2.31.3.1.2 y siguientes del Decreto 2555 de 2010.</w:t>
      </w:r>
    </w:p>
    <w:p w14:paraId="500DB024" w14:textId="77777777" w:rsidR="00DC6CF3" w:rsidRPr="00CD186B" w:rsidRDefault="00DC6CF3" w:rsidP="00DC6CF3">
      <w:pPr>
        <w:tabs>
          <w:tab w:val="left" w:pos="720"/>
          <w:tab w:val="left" w:pos="1064"/>
          <w:tab w:val="left" w:pos="2057"/>
        </w:tabs>
        <w:ind w:right="51"/>
        <w:jc w:val="both"/>
        <w:rPr>
          <w:rFonts w:cs="Arial"/>
          <w:sz w:val="16"/>
          <w:szCs w:val="16"/>
        </w:rPr>
      </w:pPr>
    </w:p>
    <w:p w14:paraId="382B2CAC" w14:textId="77777777" w:rsidR="00DC6CF3" w:rsidRPr="00CD186B" w:rsidRDefault="00DC6CF3" w:rsidP="00DC6CF3">
      <w:pPr>
        <w:tabs>
          <w:tab w:val="left" w:pos="720"/>
          <w:tab w:val="left" w:pos="1064"/>
          <w:tab w:val="left" w:pos="2057"/>
        </w:tabs>
        <w:ind w:right="51"/>
        <w:jc w:val="both"/>
        <w:rPr>
          <w:rFonts w:cs="Arial"/>
          <w:sz w:val="16"/>
          <w:szCs w:val="16"/>
        </w:rPr>
      </w:pPr>
      <w:r w:rsidRPr="00CD186B">
        <w:rPr>
          <w:rFonts w:cs="Arial"/>
          <w:sz w:val="16"/>
          <w:szCs w:val="16"/>
        </w:rPr>
        <w:t>En el respectivo contrato debe especificarse que los procedimientos operacionales correspondientes al área de tesorería del “</w:t>
      </w:r>
      <w:proofErr w:type="spellStart"/>
      <w:r w:rsidRPr="00CD186B">
        <w:rPr>
          <w:rFonts w:cs="Arial"/>
          <w:i/>
          <w:sz w:val="16"/>
          <w:szCs w:val="16"/>
        </w:rPr>
        <w:t>middle</w:t>
      </w:r>
      <w:proofErr w:type="spellEnd"/>
      <w:r w:rsidRPr="00CD186B">
        <w:rPr>
          <w:rFonts w:cs="Arial"/>
          <w:i/>
          <w:sz w:val="16"/>
          <w:szCs w:val="16"/>
        </w:rPr>
        <w:t xml:space="preserve"> office</w:t>
      </w:r>
      <w:r w:rsidRPr="00CD186B">
        <w:rPr>
          <w:rFonts w:cs="Arial"/>
          <w:sz w:val="16"/>
          <w:szCs w:val="16"/>
        </w:rPr>
        <w:t xml:space="preserve">”, deben estar siempre en cabeza de </w:t>
      </w:r>
      <w:proofErr w:type="gramStart"/>
      <w:r w:rsidRPr="00CD186B">
        <w:rPr>
          <w:rFonts w:cs="Arial"/>
          <w:sz w:val="16"/>
          <w:szCs w:val="16"/>
        </w:rPr>
        <w:t>la  aseguradora</w:t>
      </w:r>
      <w:proofErr w:type="gramEnd"/>
      <w:r w:rsidRPr="00CD186B">
        <w:rPr>
          <w:rFonts w:cs="Arial"/>
          <w:sz w:val="16"/>
          <w:szCs w:val="16"/>
        </w:rPr>
        <w:t xml:space="preserve"> y por lo tanto, no es procedente contratar su manejo con terceros. Para estos efectos, se entiende por “</w:t>
      </w:r>
      <w:proofErr w:type="spellStart"/>
      <w:r w:rsidRPr="00CD186B">
        <w:rPr>
          <w:rFonts w:cs="Arial"/>
          <w:i/>
          <w:sz w:val="16"/>
          <w:szCs w:val="16"/>
        </w:rPr>
        <w:t>middle</w:t>
      </w:r>
      <w:proofErr w:type="spellEnd"/>
      <w:r w:rsidRPr="00CD186B">
        <w:rPr>
          <w:rFonts w:cs="Arial"/>
          <w:i/>
          <w:sz w:val="16"/>
          <w:szCs w:val="16"/>
        </w:rPr>
        <w:t xml:space="preserve"> office</w:t>
      </w:r>
      <w:r w:rsidRPr="00CD186B">
        <w:rPr>
          <w:rFonts w:cs="Arial"/>
          <w:sz w:val="16"/>
          <w:szCs w:val="16"/>
        </w:rPr>
        <w:t xml:space="preserve">” la definición contenida en el numeral 7 del Capítulo XX de la Circular Externa 100 de 1995 de la CBCF.  </w:t>
      </w:r>
    </w:p>
    <w:p w14:paraId="6B5D82EC" w14:textId="77777777" w:rsidR="00DC6CF3" w:rsidRPr="00CD186B" w:rsidRDefault="00DC6CF3" w:rsidP="00DC6CF3">
      <w:pPr>
        <w:tabs>
          <w:tab w:val="left" w:pos="720"/>
          <w:tab w:val="left" w:pos="1064"/>
          <w:tab w:val="left" w:pos="2057"/>
        </w:tabs>
        <w:ind w:right="356"/>
        <w:jc w:val="both"/>
        <w:rPr>
          <w:rFonts w:cs="Arial"/>
          <w:sz w:val="16"/>
          <w:szCs w:val="16"/>
        </w:rPr>
      </w:pPr>
      <w:r w:rsidRPr="00CD186B">
        <w:rPr>
          <w:rFonts w:cs="Arial"/>
          <w:sz w:val="16"/>
          <w:szCs w:val="16"/>
        </w:rPr>
        <w:t> </w:t>
      </w:r>
    </w:p>
    <w:p w14:paraId="6AEA3F8E" w14:textId="43AF5372" w:rsidR="00CF17D5" w:rsidRPr="00CD186B" w:rsidRDefault="00DC6CF3" w:rsidP="00496297">
      <w:pPr>
        <w:tabs>
          <w:tab w:val="left" w:pos="720"/>
          <w:tab w:val="left" w:pos="1064"/>
          <w:tab w:val="left" w:pos="2057"/>
        </w:tabs>
        <w:ind w:right="51"/>
        <w:jc w:val="both"/>
        <w:rPr>
          <w:rFonts w:cs="Arial"/>
          <w:sz w:val="16"/>
          <w:szCs w:val="16"/>
          <w:lang w:val="es-MX"/>
        </w:rPr>
      </w:pPr>
      <w:r w:rsidRPr="00CD186B">
        <w:rPr>
          <w:rFonts w:cs="Arial"/>
          <w:sz w:val="16"/>
          <w:szCs w:val="16"/>
        </w:rPr>
        <w:t xml:space="preserve">Cabe resaltar que el hecho de suscribir este tipo de contratos con sociedades </w:t>
      </w:r>
      <w:proofErr w:type="gramStart"/>
      <w:r w:rsidRPr="00CD186B">
        <w:rPr>
          <w:rFonts w:cs="Arial"/>
          <w:sz w:val="16"/>
          <w:szCs w:val="16"/>
        </w:rPr>
        <w:t>fiduciarias,</w:t>
      </w:r>
      <w:proofErr w:type="gramEnd"/>
      <w:r w:rsidRPr="00CD186B">
        <w:rPr>
          <w:rFonts w:cs="Arial"/>
          <w:sz w:val="16"/>
          <w:szCs w:val="16"/>
        </w:rPr>
        <w:t xml:space="preserve"> no exime bajo ningún supuesto a la aseguradora del cumplimiento estricto de sus obligaciones legales o reglamentarias, como tampoco de las instrucciones contenidas en la presente Circular y en la CBCF, ni puede aducirse como una forma para trasladar las responsabilidades que le son inherentes en su calidad de entidades </w:t>
      </w:r>
      <w:r>
        <w:rPr>
          <w:rFonts w:cs="Arial"/>
          <w:sz w:val="16"/>
          <w:szCs w:val="16"/>
        </w:rPr>
        <w:t>vigiladas a un tercero.</w:t>
      </w:r>
    </w:p>
    <w:sectPr w:rsidR="00CF17D5" w:rsidRPr="00CD186B" w:rsidSect="00B269D7">
      <w:footerReference w:type="default" r:id="rId15"/>
      <w:pgSz w:w="12240" w:h="18720" w:code="257"/>
      <w:pgMar w:top="1417" w:right="1701" w:bottom="1417" w:left="1701" w:header="709" w:footer="865" w:gutter="0"/>
      <w:pgNumType w:start="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55DAF" w14:textId="77777777" w:rsidR="005B4FE7" w:rsidRDefault="005B4FE7" w:rsidP="00492483">
      <w:r>
        <w:separator/>
      </w:r>
    </w:p>
  </w:endnote>
  <w:endnote w:type="continuationSeparator" w:id="0">
    <w:p w14:paraId="57B306D5" w14:textId="77777777" w:rsidR="005B4FE7" w:rsidRDefault="005B4FE7" w:rsidP="00492483">
      <w:r>
        <w:continuationSeparator/>
      </w:r>
    </w:p>
  </w:endnote>
  <w:endnote w:type="continuationNotice" w:id="1">
    <w:p w14:paraId="2032C16A" w14:textId="77777777" w:rsidR="005B4FE7" w:rsidRDefault="005B4F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Lucida Grande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E9E93" w14:textId="321DA962" w:rsidR="00E92C56" w:rsidRDefault="00E92C56" w:rsidP="00BE660C">
    <w:pPr>
      <w:pStyle w:val="Piedepgina"/>
      <w:tabs>
        <w:tab w:val="clear" w:pos="8504"/>
        <w:tab w:val="right" w:pos="8789"/>
      </w:tabs>
      <w:rPr>
        <w:b/>
        <w:sz w:val="18"/>
        <w:szCs w:val="18"/>
      </w:rPr>
    </w:pPr>
    <w:r w:rsidRPr="00492483">
      <w:rPr>
        <w:b/>
        <w:sz w:val="18"/>
        <w:szCs w:val="18"/>
      </w:rPr>
      <w:t xml:space="preserve">PARTE </w:t>
    </w:r>
    <w:proofErr w:type="gramStart"/>
    <w:r w:rsidRPr="00492483">
      <w:rPr>
        <w:b/>
        <w:sz w:val="18"/>
        <w:szCs w:val="18"/>
      </w:rPr>
      <w:t>II  TÍTULO</w:t>
    </w:r>
    <w:proofErr w:type="gramEnd"/>
    <w:r w:rsidRPr="00492483">
      <w:rPr>
        <w:b/>
        <w:sz w:val="18"/>
        <w:szCs w:val="18"/>
      </w:rPr>
      <w:t xml:space="preserve"> IV CAPÍTULO </w:t>
    </w:r>
    <w:r>
      <w:rPr>
        <w:b/>
        <w:sz w:val="18"/>
        <w:szCs w:val="18"/>
      </w:rPr>
      <w:t>II</w:t>
    </w:r>
    <w:r>
      <w:rPr>
        <w:b/>
        <w:sz w:val="18"/>
        <w:szCs w:val="18"/>
      </w:rPr>
      <w:tab/>
    </w:r>
    <w:r>
      <w:rPr>
        <w:b/>
        <w:sz w:val="18"/>
        <w:szCs w:val="18"/>
      </w:rPr>
      <w:tab/>
      <w:t xml:space="preserve">   </w:t>
    </w:r>
  </w:p>
  <w:p w14:paraId="44A656E7" w14:textId="3DC3770C" w:rsidR="00E92C56" w:rsidRPr="00492483" w:rsidRDefault="00E92C56" w:rsidP="007656FF">
    <w:pPr>
      <w:pStyle w:val="Piedepgina"/>
      <w:rPr>
        <w:b/>
        <w:sz w:val="18"/>
        <w:szCs w:val="18"/>
      </w:rPr>
    </w:pPr>
    <w:r>
      <w:rPr>
        <w:b/>
        <w:sz w:val="18"/>
        <w:szCs w:val="18"/>
      </w:rPr>
      <w:t xml:space="preserve">Circular Externa </w:t>
    </w:r>
    <w:proofErr w:type="gramStart"/>
    <w:r w:rsidR="00903CDC">
      <w:rPr>
        <w:b/>
        <w:sz w:val="18"/>
        <w:szCs w:val="18"/>
      </w:rPr>
      <w:t xml:space="preserve">008 </w:t>
    </w:r>
    <w:r>
      <w:rPr>
        <w:b/>
        <w:sz w:val="18"/>
        <w:szCs w:val="18"/>
      </w:rPr>
      <w:t xml:space="preserve"> de</w:t>
    </w:r>
    <w:proofErr w:type="gramEnd"/>
    <w:r>
      <w:rPr>
        <w:b/>
        <w:sz w:val="18"/>
        <w:szCs w:val="18"/>
      </w:rPr>
      <w:t xml:space="preserve"> 20</w:t>
    </w:r>
    <w:r w:rsidR="00496297">
      <w:rPr>
        <w:b/>
        <w:sz w:val="18"/>
        <w:szCs w:val="18"/>
      </w:rPr>
      <w:t>21</w:t>
    </w:r>
    <w:r>
      <w:rPr>
        <w:b/>
        <w:sz w:val="18"/>
        <w:szCs w:val="18"/>
      </w:rPr>
      <w:t xml:space="preserve">                                                                                          </w:t>
    </w:r>
    <w:r w:rsidR="00496297">
      <w:rPr>
        <w:b/>
        <w:sz w:val="18"/>
        <w:szCs w:val="18"/>
      </w:rPr>
      <w:t xml:space="preserve">             </w:t>
    </w:r>
    <w:r w:rsidR="00533791">
      <w:rPr>
        <w:b/>
        <w:sz w:val="18"/>
        <w:szCs w:val="18"/>
      </w:rPr>
      <w:t>Mayo</w:t>
    </w:r>
    <w:r w:rsidR="00496297">
      <w:rPr>
        <w:b/>
        <w:sz w:val="18"/>
        <w:szCs w:val="18"/>
      </w:rPr>
      <w:t xml:space="preserve"> </w:t>
    </w:r>
    <w:r>
      <w:rPr>
        <w:b/>
        <w:sz w:val="18"/>
        <w:szCs w:val="18"/>
      </w:rPr>
      <w:t>de 20</w:t>
    </w:r>
    <w:r w:rsidR="003D7A5E">
      <w:rPr>
        <w:b/>
        <w:sz w:val="18"/>
        <w:szCs w:val="18"/>
      </w:rPr>
      <w:t>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10D9" w14:textId="77777777" w:rsidR="00E92C56" w:rsidRPr="00112228" w:rsidRDefault="00E92C56" w:rsidP="00924F40">
    <w:pPr>
      <w:pStyle w:val="Piedepgina"/>
      <w:tabs>
        <w:tab w:val="clear" w:pos="8504"/>
        <w:tab w:val="right" w:pos="8789"/>
      </w:tabs>
      <w:rPr>
        <w:b/>
        <w:sz w:val="18"/>
        <w:szCs w:val="18"/>
      </w:rPr>
    </w:pPr>
    <w:r w:rsidRPr="00112228">
      <w:rPr>
        <w:b/>
        <w:sz w:val="18"/>
        <w:szCs w:val="18"/>
      </w:rPr>
      <w:t>PARTE II – TÍTULO IV – CAPÍTULO II</w:t>
    </w:r>
    <w:r w:rsidRPr="00112228">
      <w:rPr>
        <w:b/>
        <w:sz w:val="18"/>
        <w:szCs w:val="18"/>
      </w:rPr>
      <w:tab/>
    </w:r>
    <w:r w:rsidRPr="00112228">
      <w:rPr>
        <w:b/>
        <w:sz w:val="18"/>
        <w:szCs w:val="18"/>
      </w:rPr>
      <w:tab/>
    </w:r>
    <w:r>
      <w:rPr>
        <w:b/>
        <w:sz w:val="18"/>
        <w:szCs w:val="18"/>
      </w:rPr>
      <w:t xml:space="preserve">             PÁGINA </w:t>
    </w:r>
  </w:p>
  <w:p w14:paraId="61193D95" w14:textId="77777777" w:rsidR="00E92C56" w:rsidRPr="00112228" w:rsidRDefault="00E92C56" w:rsidP="00924F40">
    <w:pPr>
      <w:pStyle w:val="Piedepgina"/>
      <w:rPr>
        <w:b/>
        <w:sz w:val="18"/>
        <w:szCs w:val="18"/>
      </w:rPr>
    </w:pPr>
    <w:r>
      <w:rPr>
        <w:b/>
        <w:sz w:val="18"/>
        <w:szCs w:val="18"/>
      </w:rPr>
      <w:t xml:space="preserve">Circular Externa 025 de </w:t>
    </w:r>
    <w:r w:rsidRPr="00112228">
      <w:rPr>
        <w:b/>
        <w:sz w:val="18"/>
        <w:szCs w:val="18"/>
      </w:rPr>
      <w:t>201</w:t>
    </w:r>
    <w:r>
      <w:rPr>
        <w:b/>
        <w:sz w:val="18"/>
        <w:szCs w:val="18"/>
      </w:rPr>
      <w:t xml:space="preserve">7 </w:t>
    </w:r>
    <w:r w:rsidRPr="00112228">
      <w:rPr>
        <w:b/>
        <w:sz w:val="18"/>
        <w:szCs w:val="18"/>
      </w:rPr>
      <w:tab/>
      <w:t xml:space="preserve">                                                                        </w:t>
    </w:r>
    <w:r>
      <w:rPr>
        <w:b/>
        <w:sz w:val="18"/>
        <w:szCs w:val="18"/>
      </w:rPr>
      <w:t xml:space="preserve">                    </w:t>
    </w:r>
    <w:proofErr w:type="gramStart"/>
    <w:r>
      <w:rPr>
        <w:b/>
        <w:sz w:val="18"/>
        <w:szCs w:val="18"/>
      </w:rPr>
      <w:t>Septiembre</w:t>
    </w:r>
    <w:proofErr w:type="gramEnd"/>
    <w:r>
      <w:rPr>
        <w:b/>
        <w:sz w:val="18"/>
        <w:szCs w:val="18"/>
      </w:rPr>
      <w:t xml:space="preserve"> de 2017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276E9" w14:textId="77777777" w:rsidR="009C17DE" w:rsidRDefault="009C17DE" w:rsidP="00BE660C">
    <w:pPr>
      <w:pStyle w:val="Piedepgina"/>
      <w:tabs>
        <w:tab w:val="clear" w:pos="8504"/>
        <w:tab w:val="right" w:pos="8789"/>
      </w:tabs>
      <w:rPr>
        <w:b/>
        <w:sz w:val="18"/>
        <w:szCs w:val="18"/>
      </w:rPr>
    </w:pPr>
    <w:r w:rsidRPr="00492483">
      <w:rPr>
        <w:b/>
        <w:sz w:val="18"/>
        <w:szCs w:val="18"/>
      </w:rPr>
      <w:t xml:space="preserve">PARTE </w:t>
    </w:r>
    <w:proofErr w:type="gramStart"/>
    <w:r w:rsidRPr="00492483">
      <w:rPr>
        <w:b/>
        <w:sz w:val="18"/>
        <w:szCs w:val="18"/>
      </w:rPr>
      <w:t>II  TÍTULO</w:t>
    </w:r>
    <w:proofErr w:type="gramEnd"/>
    <w:r w:rsidRPr="00492483">
      <w:rPr>
        <w:b/>
        <w:sz w:val="18"/>
        <w:szCs w:val="18"/>
      </w:rPr>
      <w:t xml:space="preserve"> IV CAPÍTULO </w:t>
    </w:r>
    <w:r>
      <w:rPr>
        <w:b/>
        <w:sz w:val="18"/>
        <w:szCs w:val="18"/>
      </w:rPr>
      <w:t>II</w:t>
    </w:r>
    <w:r>
      <w:rPr>
        <w:b/>
        <w:sz w:val="18"/>
        <w:szCs w:val="18"/>
      </w:rPr>
      <w:tab/>
    </w:r>
    <w:r>
      <w:rPr>
        <w:b/>
        <w:sz w:val="18"/>
        <w:szCs w:val="18"/>
      </w:rPr>
      <w:tab/>
      <w:t xml:space="preserve">   PÁGINA 30-3</w:t>
    </w:r>
  </w:p>
  <w:p w14:paraId="15D89D77" w14:textId="49B0D5A9" w:rsidR="009C17DE" w:rsidRPr="00492483" w:rsidRDefault="009C17DE" w:rsidP="007656FF">
    <w:pPr>
      <w:pStyle w:val="Piedepgina"/>
      <w:rPr>
        <w:b/>
        <w:sz w:val="18"/>
        <w:szCs w:val="18"/>
      </w:rPr>
    </w:pPr>
    <w:r>
      <w:rPr>
        <w:b/>
        <w:sz w:val="18"/>
        <w:szCs w:val="18"/>
      </w:rPr>
      <w:t xml:space="preserve">Circular Externa </w:t>
    </w:r>
    <w:r w:rsidR="00903CDC">
      <w:rPr>
        <w:b/>
        <w:sz w:val="18"/>
        <w:szCs w:val="18"/>
      </w:rPr>
      <w:t>008</w:t>
    </w:r>
    <w:r>
      <w:rPr>
        <w:b/>
        <w:sz w:val="18"/>
        <w:szCs w:val="18"/>
      </w:rPr>
      <w:t xml:space="preserve"> de 2021</w:t>
    </w:r>
    <w:r>
      <w:rPr>
        <w:b/>
        <w:sz w:val="18"/>
        <w:szCs w:val="18"/>
      </w:rPr>
      <w:tab/>
      <w:t xml:space="preserve">                                                                                                       </w:t>
    </w:r>
    <w:proofErr w:type="gramStart"/>
    <w:r w:rsidR="00377AAA">
      <w:rPr>
        <w:b/>
        <w:sz w:val="18"/>
        <w:szCs w:val="18"/>
      </w:rPr>
      <w:t>Mayo</w:t>
    </w:r>
    <w:proofErr w:type="gramEnd"/>
    <w:r w:rsidR="00377AAA">
      <w:rPr>
        <w:b/>
        <w:sz w:val="18"/>
        <w:szCs w:val="18"/>
      </w:rPr>
      <w:t xml:space="preserve"> </w:t>
    </w:r>
    <w:r>
      <w:rPr>
        <w:b/>
        <w:sz w:val="18"/>
        <w:szCs w:val="18"/>
      </w:rPr>
      <w:t>de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8797C" w14:textId="77777777" w:rsidR="005B4FE7" w:rsidRDefault="005B4FE7" w:rsidP="00492483">
      <w:r>
        <w:separator/>
      </w:r>
    </w:p>
  </w:footnote>
  <w:footnote w:type="continuationSeparator" w:id="0">
    <w:p w14:paraId="61558ED5" w14:textId="77777777" w:rsidR="005B4FE7" w:rsidRDefault="005B4FE7" w:rsidP="00492483">
      <w:r>
        <w:continuationSeparator/>
      </w:r>
    </w:p>
  </w:footnote>
  <w:footnote w:type="continuationNotice" w:id="1">
    <w:p w14:paraId="2ACF6008" w14:textId="77777777" w:rsidR="005B4FE7" w:rsidRDefault="005B4FE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E85B9" w14:textId="77777777" w:rsidR="00E92C56" w:rsidRDefault="00E92C56" w:rsidP="00492483">
    <w:pPr>
      <w:pStyle w:val="Encabezado"/>
      <w:jc w:val="center"/>
      <w:rPr>
        <w:b/>
        <w:sz w:val="24"/>
        <w:szCs w:val="24"/>
      </w:rPr>
    </w:pPr>
    <w:r w:rsidRPr="00492483">
      <w:rPr>
        <w:b/>
        <w:sz w:val="24"/>
        <w:szCs w:val="24"/>
      </w:rPr>
      <w:t>SUPERINTENDENCIA FINANCIERA DE COLOMBIA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9B5B3" w14:textId="77777777" w:rsidR="00E92C56" w:rsidRDefault="00E92C56" w:rsidP="00FD466C">
    <w:pPr>
      <w:pStyle w:val="Encabezado"/>
      <w:jc w:val="center"/>
      <w:rPr>
        <w:b/>
        <w:sz w:val="24"/>
        <w:szCs w:val="24"/>
      </w:rPr>
    </w:pPr>
    <w:r w:rsidRPr="00492483">
      <w:rPr>
        <w:b/>
        <w:sz w:val="24"/>
        <w:szCs w:val="24"/>
      </w:rPr>
      <w:t>SUPERINTENDENCIA FINANCIERA DE COLOMBIA</w:t>
    </w:r>
  </w:p>
  <w:p w14:paraId="667C8A30" w14:textId="77777777" w:rsidR="00E92C56" w:rsidRDefault="00E92C5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D99AA72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14256FE"/>
    <w:multiLevelType w:val="multilevel"/>
    <w:tmpl w:val="0C52262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480" w:hanging="4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1CC451FC"/>
    <w:multiLevelType w:val="multilevel"/>
    <w:tmpl w:val="05CA5E50"/>
    <w:lvl w:ilvl="0">
      <w:start w:val="2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81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10" w:hanging="8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487033F6"/>
    <w:multiLevelType w:val="multilevel"/>
    <w:tmpl w:val="A3F8DBB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5B1D30CA"/>
    <w:multiLevelType w:val="multilevel"/>
    <w:tmpl w:val="B3F2EB70"/>
    <w:lvl w:ilvl="0">
      <w:start w:val="1"/>
      <w:numFmt w:val="decimal"/>
      <w:pStyle w:val="Titulo2"/>
      <w:lvlText w:val="%1."/>
      <w:lvlJc w:val="left"/>
      <w:pPr>
        <w:tabs>
          <w:tab w:val="num" w:pos="786"/>
        </w:tabs>
        <w:ind w:left="426" w:firstLine="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Titulo"/>
      <w:lvlText w:val="%1.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 w15:restartNumberingAfterBreak="0">
    <w:nsid w:val="5B656EB3"/>
    <w:multiLevelType w:val="multilevel"/>
    <w:tmpl w:val="71F083EE"/>
    <w:lvl w:ilvl="0">
      <w:start w:val="2"/>
      <w:numFmt w:val="decimal"/>
      <w:lvlText w:val="%1."/>
      <w:lvlJc w:val="left"/>
      <w:pPr>
        <w:ind w:left="528" w:hanging="528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528" w:hanging="52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bCs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</w:rPr>
    </w:lvl>
  </w:abstractNum>
  <w:abstractNum w:abstractNumId="6" w15:restartNumberingAfterBreak="0">
    <w:nsid w:val="63BC6D94"/>
    <w:multiLevelType w:val="multilevel"/>
    <w:tmpl w:val="06D6C000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5" w:hanging="67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3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7A3775CE"/>
    <w:multiLevelType w:val="multilevel"/>
    <w:tmpl w:val="5AE8093E"/>
    <w:lvl w:ilvl="0">
      <w:start w:val="2"/>
      <w:numFmt w:val="decimal"/>
      <w:lvlText w:val="%1."/>
      <w:lvlJc w:val="left"/>
      <w:pPr>
        <w:ind w:left="528" w:hanging="52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8" w:hanging="528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7"/>
  </w:num>
  <w:num w:numId="6">
    <w:abstractNumId w:val="4"/>
  </w:num>
  <w:num w:numId="7">
    <w:abstractNumId w:val="1"/>
  </w:num>
  <w:num w:numId="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D26"/>
    <w:rsid w:val="000034D6"/>
    <w:rsid w:val="00004BB2"/>
    <w:rsid w:val="00020168"/>
    <w:rsid w:val="00026038"/>
    <w:rsid w:val="000506D4"/>
    <w:rsid w:val="00052D1A"/>
    <w:rsid w:val="000610CD"/>
    <w:rsid w:val="0009238F"/>
    <w:rsid w:val="000A4859"/>
    <w:rsid w:val="000B16B8"/>
    <w:rsid w:val="000D3236"/>
    <w:rsid w:val="000D715A"/>
    <w:rsid w:val="000D7CEE"/>
    <w:rsid w:val="000E5C53"/>
    <w:rsid w:val="000E7357"/>
    <w:rsid w:val="001029BA"/>
    <w:rsid w:val="001265D4"/>
    <w:rsid w:val="00126FFB"/>
    <w:rsid w:val="00127D78"/>
    <w:rsid w:val="00140612"/>
    <w:rsid w:val="00144075"/>
    <w:rsid w:val="0015138B"/>
    <w:rsid w:val="00156D25"/>
    <w:rsid w:val="001602EA"/>
    <w:rsid w:val="001703CE"/>
    <w:rsid w:val="00176559"/>
    <w:rsid w:val="00187299"/>
    <w:rsid w:val="001919AF"/>
    <w:rsid w:val="001B0554"/>
    <w:rsid w:val="001B05A7"/>
    <w:rsid w:val="001C44B8"/>
    <w:rsid w:val="001D1677"/>
    <w:rsid w:val="001D365B"/>
    <w:rsid w:val="00225181"/>
    <w:rsid w:val="00227A92"/>
    <w:rsid w:val="00243B4D"/>
    <w:rsid w:val="00245FCB"/>
    <w:rsid w:val="00271850"/>
    <w:rsid w:val="002736F5"/>
    <w:rsid w:val="00273EA0"/>
    <w:rsid w:val="00287CAF"/>
    <w:rsid w:val="002947BB"/>
    <w:rsid w:val="002A11F6"/>
    <w:rsid w:val="002A1822"/>
    <w:rsid w:val="002B0368"/>
    <w:rsid w:val="002B2B15"/>
    <w:rsid w:val="002C089D"/>
    <w:rsid w:val="002C2B33"/>
    <w:rsid w:val="002C63C2"/>
    <w:rsid w:val="002D38CA"/>
    <w:rsid w:val="002E1D26"/>
    <w:rsid w:val="00300643"/>
    <w:rsid w:val="00311C17"/>
    <w:rsid w:val="003171C9"/>
    <w:rsid w:val="003208D7"/>
    <w:rsid w:val="00325C17"/>
    <w:rsid w:val="00347290"/>
    <w:rsid w:val="00356E1E"/>
    <w:rsid w:val="003735C3"/>
    <w:rsid w:val="00377AAA"/>
    <w:rsid w:val="003846D5"/>
    <w:rsid w:val="00396357"/>
    <w:rsid w:val="003A6DD0"/>
    <w:rsid w:val="003B2959"/>
    <w:rsid w:val="003B2C62"/>
    <w:rsid w:val="003C16D0"/>
    <w:rsid w:val="003D7A5E"/>
    <w:rsid w:val="003E2EE0"/>
    <w:rsid w:val="00414686"/>
    <w:rsid w:val="004233F9"/>
    <w:rsid w:val="00430A1B"/>
    <w:rsid w:val="004642AC"/>
    <w:rsid w:val="00492483"/>
    <w:rsid w:val="00496297"/>
    <w:rsid w:val="004A4D2E"/>
    <w:rsid w:val="004B24C9"/>
    <w:rsid w:val="004C0D8A"/>
    <w:rsid w:val="00527E8E"/>
    <w:rsid w:val="00533791"/>
    <w:rsid w:val="00535EFF"/>
    <w:rsid w:val="00551BE7"/>
    <w:rsid w:val="005729F7"/>
    <w:rsid w:val="00577AB4"/>
    <w:rsid w:val="00585D4C"/>
    <w:rsid w:val="00592102"/>
    <w:rsid w:val="005A5AB6"/>
    <w:rsid w:val="005B1EB6"/>
    <w:rsid w:val="005B4FE7"/>
    <w:rsid w:val="005B6EBA"/>
    <w:rsid w:val="005C2CB9"/>
    <w:rsid w:val="005D4962"/>
    <w:rsid w:val="005D4A9E"/>
    <w:rsid w:val="005F29C7"/>
    <w:rsid w:val="00622816"/>
    <w:rsid w:val="006368D1"/>
    <w:rsid w:val="00641D7A"/>
    <w:rsid w:val="00651F47"/>
    <w:rsid w:val="00657F81"/>
    <w:rsid w:val="00692A66"/>
    <w:rsid w:val="00696338"/>
    <w:rsid w:val="00697CF2"/>
    <w:rsid w:val="006A5A6E"/>
    <w:rsid w:val="006B162B"/>
    <w:rsid w:val="006B2BDD"/>
    <w:rsid w:val="006C38CD"/>
    <w:rsid w:val="006C6720"/>
    <w:rsid w:val="006E283D"/>
    <w:rsid w:val="00726C0A"/>
    <w:rsid w:val="0073212E"/>
    <w:rsid w:val="007439A1"/>
    <w:rsid w:val="00755B07"/>
    <w:rsid w:val="007656FF"/>
    <w:rsid w:val="0078594E"/>
    <w:rsid w:val="00791CAF"/>
    <w:rsid w:val="007B0902"/>
    <w:rsid w:val="007B344D"/>
    <w:rsid w:val="007C55F7"/>
    <w:rsid w:val="007D1B0E"/>
    <w:rsid w:val="007E626D"/>
    <w:rsid w:val="0080345A"/>
    <w:rsid w:val="00810126"/>
    <w:rsid w:val="00827D83"/>
    <w:rsid w:val="00831E85"/>
    <w:rsid w:val="008711B0"/>
    <w:rsid w:val="00873434"/>
    <w:rsid w:val="008824EC"/>
    <w:rsid w:val="008B2914"/>
    <w:rsid w:val="008C13AD"/>
    <w:rsid w:val="008C2BF8"/>
    <w:rsid w:val="008C78F3"/>
    <w:rsid w:val="008D0976"/>
    <w:rsid w:val="008D63A1"/>
    <w:rsid w:val="008D64AD"/>
    <w:rsid w:val="008F1C15"/>
    <w:rsid w:val="00903CDC"/>
    <w:rsid w:val="00906D6F"/>
    <w:rsid w:val="00913B37"/>
    <w:rsid w:val="009214C2"/>
    <w:rsid w:val="00924F40"/>
    <w:rsid w:val="00927B6A"/>
    <w:rsid w:val="00935FCB"/>
    <w:rsid w:val="0095003A"/>
    <w:rsid w:val="00960AFB"/>
    <w:rsid w:val="00972FCB"/>
    <w:rsid w:val="00986D8B"/>
    <w:rsid w:val="0099369A"/>
    <w:rsid w:val="009A22D9"/>
    <w:rsid w:val="009A49F2"/>
    <w:rsid w:val="009B173C"/>
    <w:rsid w:val="009C073E"/>
    <w:rsid w:val="009C17DE"/>
    <w:rsid w:val="009F11C8"/>
    <w:rsid w:val="00A12D8D"/>
    <w:rsid w:val="00A632BB"/>
    <w:rsid w:val="00A729F0"/>
    <w:rsid w:val="00A830EC"/>
    <w:rsid w:val="00A83C67"/>
    <w:rsid w:val="00A92F8B"/>
    <w:rsid w:val="00AA31FD"/>
    <w:rsid w:val="00AA3347"/>
    <w:rsid w:val="00AB0460"/>
    <w:rsid w:val="00AC4555"/>
    <w:rsid w:val="00AD71C7"/>
    <w:rsid w:val="00AF6AF8"/>
    <w:rsid w:val="00AF79E4"/>
    <w:rsid w:val="00B10D26"/>
    <w:rsid w:val="00B264C9"/>
    <w:rsid w:val="00B269D7"/>
    <w:rsid w:val="00B30839"/>
    <w:rsid w:val="00B31231"/>
    <w:rsid w:val="00B40D8E"/>
    <w:rsid w:val="00B854F5"/>
    <w:rsid w:val="00B9377C"/>
    <w:rsid w:val="00BB7D9F"/>
    <w:rsid w:val="00BC3E4E"/>
    <w:rsid w:val="00BE152D"/>
    <w:rsid w:val="00BE660C"/>
    <w:rsid w:val="00BE7CD4"/>
    <w:rsid w:val="00BF486C"/>
    <w:rsid w:val="00C05DA1"/>
    <w:rsid w:val="00C2042B"/>
    <w:rsid w:val="00C24790"/>
    <w:rsid w:val="00C335D9"/>
    <w:rsid w:val="00C53E3C"/>
    <w:rsid w:val="00C66A3E"/>
    <w:rsid w:val="00C9139C"/>
    <w:rsid w:val="00CC2C5E"/>
    <w:rsid w:val="00CD186B"/>
    <w:rsid w:val="00CD4BF2"/>
    <w:rsid w:val="00CF17D5"/>
    <w:rsid w:val="00CF278B"/>
    <w:rsid w:val="00CF3439"/>
    <w:rsid w:val="00CF4711"/>
    <w:rsid w:val="00CF7DE6"/>
    <w:rsid w:val="00D131DC"/>
    <w:rsid w:val="00D44B25"/>
    <w:rsid w:val="00D5244A"/>
    <w:rsid w:val="00D53B6C"/>
    <w:rsid w:val="00D65CB9"/>
    <w:rsid w:val="00D73F5B"/>
    <w:rsid w:val="00D91A9A"/>
    <w:rsid w:val="00DB3C51"/>
    <w:rsid w:val="00DC15B9"/>
    <w:rsid w:val="00DC6CF3"/>
    <w:rsid w:val="00DD2A2F"/>
    <w:rsid w:val="00DD6972"/>
    <w:rsid w:val="00DD703B"/>
    <w:rsid w:val="00DF50EA"/>
    <w:rsid w:val="00E00EEC"/>
    <w:rsid w:val="00E01174"/>
    <w:rsid w:val="00E0324E"/>
    <w:rsid w:val="00E04FA1"/>
    <w:rsid w:val="00E165E5"/>
    <w:rsid w:val="00E21C96"/>
    <w:rsid w:val="00E3370C"/>
    <w:rsid w:val="00E42A6C"/>
    <w:rsid w:val="00E444A0"/>
    <w:rsid w:val="00E52503"/>
    <w:rsid w:val="00E5698B"/>
    <w:rsid w:val="00E60256"/>
    <w:rsid w:val="00E634E1"/>
    <w:rsid w:val="00E82019"/>
    <w:rsid w:val="00E928C8"/>
    <w:rsid w:val="00E92C56"/>
    <w:rsid w:val="00EB046B"/>
    <w:rsid w:val="00EC17D0"/>
    <w:rsid w:val="00ED470E"/>
    <w:rsid w:val="00EE0018"/>
    <w:rsid w:val="00EE13A7"/>
    <w:rsid w:val="00EF67C2"/>
    <w:rsid w:val="00F01A00"/>
    <w:rsid w:val="00F11752"/>
    <w:rsid w:val="00F260AB"/>
    <w:rsid w:val="00F339B9"/>
    <w:rsid w:val="00F45E7E"/>
    <w:rsid w:val="00F56311"/>
    <w:rsid w:val="00F72782"/>
    <w:rsid w:val="00F743DD"/>
    <w:rsid w:val="00F904B2"/>
    <w:rsid w:val="00FA0FC1"/>
    <w:rsid w:val="00FA49B6"/>
    <w:rsid w:val="00FB1E7D"/>
    <w:rsid w:val="00FC7312"/>
    <w:rsid w:val="00FD466C"/>
    <w:rsid w:val="00FE4FAA"/>
    <w:rsid w:val="00FF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32078C"/>
  <w15:docId w15:val="{8C4C25B1-4745-475F-BDC5-EAB8861D0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hidden/>
    <w:rsid w:val="00CD4BF2"/>
    <w:rPr>
      <w:rFonts w:ascii="Arial" w:hAnsi="Arial"/>
      <w:sz w:val="24"/>
      <w:lang w:eastAsia="es-CO"/>
    </w:rPr>
  </w:style>
  <w:style w:type="paragraph" w:styleId="Ttulo1">
    <w:name w:val="heading 1"/>
    <w:basedOn w:val="Normal"/>
    <w:next w:val="Normal"/>
    <w:link w:val="Ttulo1Car"/>
    <w:qFormat/>
    <w:rsid w:val="001029BA"/>
    <w:pPr>
      <w:keepNext/>
      <w:spacing w:before="240" w:after="60"/>
      <w:outlineLvl w:val="0"/>
    </w:pPr>
    <w:rPr>
      <w:rFonts w:cs="Arial"/>
      <w:b/>
      <w:bCs/>
      <w:caps/>
      <w:kern w:val="32"/>
      <w:sz w:val="16"/>
      <w:szCs w:val="32"/>
    </w:rPr>
  </w:style>
  <w:style w:type="paragraph" w:styleId="Ttulo2">
    <w:name w:val="heading 2"/>
    <w:basedOn w:val="Normal"/>
    <w:next w:val="Normal"/>
    <w:link w:val="Ttulo2Car"/>
    <w:qFormat/>
    <w:rsid w:val="002A11F6"/>
    <w:pPr>
      <w:keepNext/>
      <w:outlineLvl w:val="1"/>
    </w:pPr>
    <w:rPr>
      <w:rFonts w:cs="Arial"/>
      <w:b/>
      <w:bCs/>
      <w:iCs/>
      <w:sz w:val="16"/>
      <w:szCs w:val="28"/>
    </w:rPr>
  </w:style>
  <w:style w:type="paragraph" w:styleId="Ttulo3">
    <w:name w:val="heading 3"/>
    <w:basedOn w:val="Normal"/>
    <w:next w:val="Normal"/>
    <w:link w:val="Ttulo3Car"/>
    <w:qFormat/>
    <w:rsid w:val="00AB0460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Ttulo4">
    <w:name w:val="heading 4"/>
    <w:basedOn w:val="Normal"/>
    <w:next w:val="Normal"/>
    <w:link w:val="Ttulo4Car"/>
    <w:qFormat/>
    <w:rsid w:val="00AB0460"/>
    <w:pPr>
      <w:keepNext/>
      <w:numPr>
        <w:ilvl w:val="3"/>
        <w:numId w:val="1"/>
      </w:numPr>
      <w:spacing w:before="240" w:after="60"/>
      <w:outlineLvl w:val="3"/>
    </w:pPr>
    <w:rPr>
      <w:bCs/>
      <w:szCs w:val="28"/>
    </w:rPr>
  </w:style>
  <w:style w:type="paragraph" w:styleId="Ttulo5">
    <w:name w:val="heading 5"/>
    <w:basedOn w:val="Normal"/>
    <w:next w:val="Normal"/>
    <w:link w:val="Ttulo5Car"/>
    <w:qFormat/>
    <w:rsid w:val="00AB0460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  <w:u w:val="single"/>
    </w:rPr>
  </w:style>
  <w:style w:type="paragraph" w:styleId="Ttulo6">
    <w:name w:val="heading 6"/>
    <w:basedOn w:val="Normal"/>
    <w:link w:val="Ttulo6Car"/>
    <w:qFormat/>
    <w:rsid w:val="00AB0460"/>
    <w:pPr>
      <w:numPr>
        <w:ilvl w:val="5"/>
        <w:numId w:val="1"/>
      </w:num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paragraph" w:styleId="Ttulo7">
    <w:name w:val="heading 7"/>
    <w:basedOn w:val="Normal"/>
    <w:next w:val="Normal"/>
    <w:link w:val="Ttulo7Car"/>
    <w:qFormat/>
    <w:rsid w:val="00AB0460"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Ttulo8">
    <w:name w:val="heading 8"/>
    <w:basedOn w:val="Normal"/>
    <w:next w:val="Normal"/>
    <w:link w:val="Ttulo8Car"/>
    <w:qFormat/>
    <w:rsid w:val="00AB0460"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Ttulo9">
    <w:name w:val="heading 9"/>
    <w:basedOn w:val="Normal"/>
    <w:next w:val="Normal"/>
    <w:link w:val="Ttulo9Car"/>
    <w:qFormat/>
    <w:rsid w:val="00AB0460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1029BA"/>
    <w:rPr>
      <w:rFonts w:ascii="Arial" w:hAnsi="Arial" w:cs="Arial"/>
      <w:b/>
      <w:bCs/>
      <w:caps/>
      <w:kern w:val="32"/>
      <w:sz w:val="16"/>
      <w:szCs w:val="32"/>
      <w:lang w:val="es-ES"/>
    </w:rPr>
  </w:style>
  <w:style w:type="character" w:customStyle="1" w:styleId="Ttulo2Car">
    <w:name w:val="Título 2 Car"/>
    <w:link w:val="Ttulo2"/>
    <w:rsid w:val="002A11F6"/>
    <w:rPr>
      <w:rFonts w:ascii="Arial" w:hAnsi="Arial" w:cs="Arial"/>
      <w:b/>
      <w:bCs/>
      <w:iCs/>
      <w:sz w:val="16"/>
      <w:szCs w:val="28"/>
      <w:lang w:val="es-ES"/>
    </w:rPr>
  </w:style>
  <w:style w:type="character" w:customStyle="1" w:styleId="Ttulo3Car">
    <w:name w:val="Título 3 Car"/>
    <w:link w:val="Ttulo3"/>
    <w:rsid w:val="00AB0460"/>
    <w:rPr>
      <w:rFonts w:ascii="Arial" w:hAnsi="Arial" w:cs="Arial"/>
      <w:b/>
      <w:bCs/>
      <w:sz w:val="24"/>
      <w:szCs w:val="26"/>
      <w:lang w:eastAsia="es-CO"/>
    </w:rPr>
  </w:style>
  <w:style w:type="character" w:customStyle="1" w:styleId="Ttulo4Car">
    <w:name w:val="Título 4 Car"/>
    <w:link w:val="Ttulo4"/>
    <w:rsid w:val="00AB0460"/>
    <w:rPr>
      <w:rFonts w:ascii="Arial" w:hAnsi="Arial"/>
      <w:bCs/>
      <w:sz w:val="24"/>
      <w:szCs w:val="28"/>
      <w:lang w:eastAsia="es-CO"/>
    </w:rPr>
  </w:style>
  <w:style w:type="character" w:customStyle="1" w:styleId="Ttulo5Car">
    <w:name w:val="Título 5 Car"/>
    <w:link w:val="Ttulo5"/>
    <w:rsid w:val="00AB0460"/>
    <w:rPr>
      <w:rFonts w:ascii="Arial" w:hAnsi="Arial"/>
      <w:b/>
      <w:bCs/>
      <w:iCs/>
      <w:sz w:val="24"/>
      <w:szCs w:val="26"/>
      <w:u w:val="single"/>
      <w:lang w:eastAsia="es-CO"/>
    </w:rPr>
  </w:style>
  <w:style w:type="character" w:customStyle="1" w:styleId="Ttulo6Car">
    <w:name w:val="Título 6 Car"/>
    <w:link w:val="Ttulo6"/>
    <w:rsid w:val="00AB0460"/>
    <w:rPr>
      <w:rFonts w:ascii="Arial" w:hAnsi="Arial"/>
      <w:b/>
      <w:bCs/>
      <w:sz w:val="15"/>
      <w:szCs w:val="15"/>
      <w:lang w:eastAsia="es-CO"/>
    </w:rPr>
  </w:style>
  <w:style w:type="character" w:customStyle="1" w:styleId="Ttulo7Car">
    <w:name w:val="Título 7 Car"/>
    <w:link w:val="Ttulo7"/>
    <w:rsid w:val="00AB0460"/>
    <w:rPr>
      <w:rFonts w:ascii="Arial" w:hAnsi="Arial"/>
      <w:sz w:val="24"/>
      <w:szCs w:val="24"/>
      <w:lang w:eastAsia="es-CO"/>
    </w:rPr>
  </w:style>
  <w:style w:type="character" w:customStyle="1" w:styleId="Ttulo8Car">
    <w:name w:val="Título 8 Car"/>
    <w:link w:val="Ttulo8"/>
    <w:rsid w:val="00AB0460"/>
    <w:rPr>
      <w:rFonts w:ascii="Arial" w:hAnsi="Arial"/>
      <w:i/>
      <w:iCs/>
      <w:sz w:val="24"/>
      <w:szCs w:val="24"/>
      <w:lang w:eastAsia="es-CO"/>
    </w:rPr>
  </w:style>
  <w:style w:type="character" w:customStyle="1" w:styleId="Ttulo9Car">
    <w:name w:val="Título 9 Car"/>
    <w:link w:val="Ttulo9"/>
    <w:rsid w:val="00AB0460"/>
    <w:rPr>
      <w:rFonts w:ascii="Arial" w:hAnsi="Arial" w:cs="Arial"/>
      <w:sz w:val="22"/>
      <w:szCs w:val="22"/>
      <w:lang w:eastAsia="es-CO"/>
    </w:rPr>
  </w:style>
  <w:style w:type="paragraph" w:styleId="Textodebloque">
    <w:name w:val="Block Text"/>
    <w:basedOn w:val="Normal"/>
    <w:rsid w:val="00B10D26"/>
    <w:pPr>
      <w:tabs>
        <w:tab w:val="left" w:pos="12474"/>
      </w:tabs>
      <w:ind w:left="426" w:right="192"/>
    </w:pPr>
    <w:rPr>
      <w:sz w:val="18"/>
    </w:rPr>
  </w:style>
  <w:style w:type="paragraph" w:styleId="Ttulo">
    <w:name w:val="Title"/>
    <w:basedOn w:val="Normal"/>
    <w:link w:val="TtuloCar"/>
    <w:qFormat/>
    <w:rsid w:val="00B10D26"/>
    <w:pPr>
      <w:jc w:val="center"/>
    </w:pPr>
    <w:rPr>
      <w:b/>
      <w:sz w:val="18"/>
    </w:rPr>
  </w:style>
  <w:style w:type="character" w:customStyle="1" w:styleId="TtuloCar">
    <w:name w:val="Título Car"/>
    <w:link w:val="Ttulo"/>
    <w:rsid w:val="00B10D26"/>
    <w:rPr>
      <w:rFonts w:ascii="Arial" w:hAnsi="Arial"/>
      <w:b/>
      <w:sz w:val="18"/>
      <w:lang w:val="es-ES" w:eastAsia="es-CO"/>
    </w:rPr>
  </w:style>
  <w:style w:type="character" w:styleId="Nmerodepgina">
    <w:name w:val="page number"/>
    <w:uiPriority w:val="99"/>
    <w:rsid w:val="00B10D26"/>
  </w:style>
  <w:style w:type="paragraph" w:styleId="Sangra2detindependiente">
    <w:name w:val="Body Text Indent 2"/>
    <w:basedOn w:val="Normal"/>
    <w:link w:val="Sangra2detindependienteCar"/>
    <w:rsid w:val="00B10D26"/>
    <w:pPr>
      <w:ind w:left="360"/>
      <w:jc w:val="both"/>
    </w:pPr>
    <w:rPr>
      <w:sz w:val="18"/>
    </w:rPr>
  </w:style>
  <w:style w:type="character" w:customStyle="1" w:styleId="Sangra2detindependienteCar">
    <w:name w:val="Sangría 2 de t. independiente Car"/>
    <w:link w:val="Sangra2detindependiente"/>
    <w:rsid w:val="00B10D26"/>
    <w:rPr>
      <w:rFonts w:ascii="Arial" w:hAnsi="Arial"/>
      <w:sz w:val="18"/>
      <w:lang w:val="es-ES" w:eastAsia="es-CO"/>
    </w:rPr>
  </w:style>
  <w:style w:type="paragraph" w:customStyle="1" w:styleId="Textoindependiente21">
    <w:name w:val="Texto independiente 21"/>
    <w:basedOn w:val="Normal"/>
    <w:rsid w:val="00B10D26"/>
    <w:pPr>
      <w:tabs>
        <w:tab w:val="left" w:pos="851"/>
      </w:tabs>
      <w:jc w:val="both"/>
    </w:pPr>
    <w:rPr>
      <w:sz w:val="18"/>
      <w:lang w:val="es-ES_tradnl"/>
    </w:rPr>
  </w:style>
  <w:style w:type="paragraph" w:styleId="Textoindependiente2">
    <w:name w:val="Body Text 2"/>
    <w:basedOn w:val="Normal"/>
    <w:link w:val="Textoindependiente2Car"/>
    <w:rsid w:val="00B10D26"/>
    <w:pPr>
      <w:ind w:right="356"/>
      <w:jc w:val="both"/>
    </w:pPr>
    <w:rPr>
      <w:b/>
      <w:sz w:val="22"/>
      <w:lang w:val="x-none"/>
    </w:rPr>
  </w:style>
  <w:style w:type="character" w:customStyle="1" w:styleId="Textoindependiente2Car">
    <w:name w:val="Texto independiente 2 Car"/>
    <w:link w:val="Textoindependiente2"/>
    <w:rsid w:val="00B10D26"/>
    <w:rPr>
      <w:rFonts w:ascii="Arial" w:hAnsi="Arial"/>
      <w:b/>
      <w:sz w:val="22"/>
      <w:lang w:val="x-none" w:eastAsia="es-CO"/>
    </w:rPr>
  </w:style>
  <w:style w:type="paragraph" w:styleId="Textoindependiente">
    <w:name w:val="Body Text"/>
    <w:basedOn w:val="Normal"/>
    <w:link w:val="TextoindependienteCar"/>
    <w:rsid w:val="00B10D26"/>
    <w:pPr>
      <w:jc w:val="both"/>
    </w:pPr>
    <w:rPr>
      <w:b/>
      <w:sz w:val="18"/>
      <w:lang w:val="x-none"/>
    </w:rPr>
  </w:style>
  <w:style w:type="character" w:customStyle="1" w:styleId="TextoindependienteCar">
    <w:name w:val="Texto independiente Car"/>
    <w:link w:val="Textoindependiente"/>
    <w:rsid w:val="00B10D26"/>
    <w:rPr>
      <w:rFonts w:ascii="Arial" w:hAnsi="Arial"/>
      <w:b/>
      <w:sz w:val="18"/>
      <w:lang w:val="x-none" w:eastAsia="es-CO"/>
    </w:rPr>
  </w:style>
  <w:style w:type="paragraph" w:styleId="Piedepgina">
    <w:name w:val="footer"/>
    <w:basedOn w:val="Normal"/>
    <w:link w:val="PiedepginaCar"/>
    <w:rsid w:val="00B10D26"/>
    <w:pPr>
      <w:tabs>
        <w:tab w:val="center" w:pos="4252"/>
        <w:tab w:val="right" w:pos="8504"/>
      </w:tabs>
    </w:pPr>
    <w:rPr>
      <w:sz w:val="20"/>
      <w:lang w:val="es-ES_tradnl"/>
    </w:rPr>
  </w:style>
  <w:style w:type="character" w:customStyle="1" w:styleId="PiedepginaCar">
    <w:name w:val="Pie de página Car"/>
    <w:link w:val="Piedepgina"/>
    <w:rsid w:val="00B10D26"/>
    <w:rPr>
      <w:rFonts w:ascii="Arial" w:hAnsi="Arial"/>
      <w:lang w:val="es-ES_tradnl" w:eastAsia="es-CO"/>
    </w:rPr>
  </w:style>
  <w:style w:type="paragraph" w:styleId="Textoindependiente3">
    <w:name w:val="Body Text 3"/>
    <w:basedOn w:val="Normal"/>
    <w:link w:val="Textoindependiente3Car"/>
    <w:rsid w:val="00B10D26"/>
    <w:pPr>
      <w:jc w:val="both"/>
    </w:pPr>
    <w:rPr>
      <w:b/>
      <w:spacing w:val="20"/>
      <w:sz w:val="16"/>
    </w:rPr>
  </w:style>
  <w:style w:type="character" w:customStyle="1" w:styleId="Textoindependiente3Car">
    <w:name w:val="Texto independiente 3 Car"/>
    <w:link w:val="Textoindependiente3"/>
    <w:rsid w:val="00B10D26"/>
    <w:rPr>
      <w:rFonts w:ascii="Arial" w:hAnsi="Arial"/>
      <w:b/>
      <w:spacing w:val="20"/>
      <w:sz w:val="16"/>
      <w:lang w:val="es-ES" w:eastAsia="es-CO"/>
    </w:rPr>
  </w:style>
  <w:style w:type="paragraph" w:styleId="Sangradetextonormal">
    <w:name w:val="Body Text Indent"/>
    <w:basedOn w:val="Normal"/>
    <w:link w:val="SangradetextonormalCar"/>
    <w:rsid w:val="00B10D26"/>
    <w:pPr>
      <w:tabs>
        <w:tab w:val="left" w:pos="851"/>
      </w:tabs>
      <w:jc w:val="both"/>
    </w:pPr>
    <w:rPr>
      <w:sz w:val="18"/>
      <w:lang w:val="es-ES_tradnl" w:eastAsia="es-ES"/>
    </w:rPr>
  </w:style>
  <w:style w:type="character" w:customStyle="1" w:styleId="SangradetextonormalCar">
    <w:name w:val="Sangría de texto normal Car"/>
    <w:link w:val="Sangradetextonormal"/>
    <w:rsid w:val="00B10D26"/>
    <w:rPr>
      <w:rFonts w:ascii="Arial" w:hAnsi="Arial"/>
      <w:sz w:val="18"/>
      <w:lang w:val="es-ES_tradnl" w:eastAsia="es-ES"/>
    </w:rPr>
  </w:style>
  <w:style w:type="paragraph" w:customStyle="1" w:styleId="Textoindependiente31">
    <w:name w:val="Texto independiente 31"/>
    <w:basedOn w:val="Normal"/>
    <w:rsid w:val="00B10D26"/>
    <w:pPr>
      <w:jc w:val="both"/>
    </w:pPr>
    <w:rPr>
      <w:sz w:val="28"/>
      <w:lang w:val="es-ES_tradnl"/>
    </w:rPr>
  </w:style>
  <w:style w:type="paragraph" w:styleId="Sangra3detindependiente">
    <w:name w:val="Body Text Indent 3"/>
    <w:basedOn w:val="Normal"/>
    <w:link w:val="Sangra3detindependienteCar"/>
    <w:rsid w:val="00B10D26"/>
    <w:pPr>
      <w:ind w:left="709"/>
      <w:jc w:val="both"/>
    </w:pPr>
    <w:rPr>
      <w:lang w:val="x-none"/>
    </w:rPr>
  </w:style>
  <w:style w:type="character" w:customStyle="1" w:styleId="Sangra3detindependienteCar">
    <w:name w:val="Sangría 3 de t. independiente Car"/>
    <w:link w:val="Sangra3detindependiente"/>
    <w:rsid w:val="00B10D26"/>
    <w:rPr>
      <w:rFonts w:ascii="Arial" w:hAnsi="Arial"/>
      <w:sz w:val="24"/>
      <w:lang w:val="x-none" w:eastAsia="es-CO"/>
    </w:rPr>
  </w:style>
  <w:style w:type="paragraph" w:styleId="Encabezado">
    <w:name w:val="header"/>
    <w:basedOn w:val="Normal"/>
    <w:link w:val="EncabezadoCar"/>
    <w:rsid w:val="00B10D26"/>
    <w:pPr>
      <w:tabs>
        <w:tab w:val="center" w:pos="4419"/>
        <w:tab w:val="right" w:pos="8838"/>
      </w:tabs>
      <w:jc w:val="both"/>
    </w:pPr>
    <w:rPr>
      <w:sz w:val="20"/>
      <w:lang w:val="es-ES_tradnl"/>
    </w:rPr>
  </w:style>
  <w:style w:type="character" w:customStyle="1" w:styleId="EncabezadoCar">
    <w:name w:val="Encabezado Car"/>
    <w:link w:val="Encabezado"/>
    <w:rsid w:val="00B10D26"/>
    <w:rPr>
      <w:rFonts w:ascii="Arial" w:hAnsi="Arial"/>
      <w:lang w:val="es-ES_tradnl" w:eastAsia="es-CO"/>
    </w:rPr>
  </w:style>
  <w:style w:type="paragraph" w:styleId="Listaconvietas">
    <w:name w:val="List Bullet"/>
    <w:basedOn w:val="Normal"/>
    <w:link w:val="ListaconvietasCar"/>
    <w:autoRedefine/>
    <w:rsid w:val="00B10D26"/>
    <w:pPr>
      <w:numPr>
        <w:numId w:val="2"/>
      </w:numPr>
    </w:pPr>
  </w:style>
  <w:style w:type="character" w:customStyle="1" w:styleId="ListaconvietasCar">
    <w:name w:val="Lista con viñetas Car"/>
    <w:link w:val="Listaconvietas"/>
    <w:rsid w:val="00B10D26"/>
    <w:rPr>
      <w:rFonts w:ascii="Arial" w:hAnsi="Arial"/>
      <w:sz w:val="24"/>
      <w:lang w:eastAsia="es-CO"/>
    </w:rPr>
  </w:style>
  <w:style w:type="paragraph" w:customStyle="1" w:styleId="Textoindependiente210">
    <w:name w:val="Texto independiente 21"/>
    <w:basedOn w:val="Normal"/>
    <w:rsid w:val="00B10D26"/>
    <w:pPr>
      <w:tabs>
        <w:tab w:val="left" w:pos="851"/>
      </w:tabs>
      <w:jc w:val="both"/>
    </w:pPr>
    <w:rPr>
      <w:sz w:val="18"/>
      <w:lang w:val="es-ES_tradnl"/>
    </w:rPr>
  </w:style>
  <w:style w:type="paragraph" w:customStyle="1" w:styleId="Textoindependiente22">
    <w:name w:val="Texto independiente 22"/>
    <w:basedOn w:val="Normal"/>
    <w:rsid w:val="00B10D26"/>
    <w:pPr>
      <w:tabs>
        <w:tab w:val="left" w:pos="851"/>
      </w:tabs>
      <w:jc w:val="both"/>
    </w:pPr>
    <w:rPr>
      <w:sz w:val="18"/>
      <w:lang w:val="es-ES_tradnl"/>
    </w:rPr>
  </w:style>
  <w:style w:type="character" w:styleId="Hipervnculo">
    <w:name w:val="Hyperlink"/>
    <w:uiPriority w:val="99"/>
    <w:unhideWhenUsed/>
    <w:rsid w:val="00B10D26"/>
    <w:rPr>
      <w:color w:val="0000FF"/>
      <w:u w:val="single"/>
    </w:rPr>
  </w:style>
  <w:style w:type="paragraph" w:styleId="Textodeglobo">
    <w:name w:val="Balloon Text"/>
    <w:basedOn w:val="Normal"/>
    <w:link w:val="TextodegloboCar"/>
    <w:rsid w:val="00B10D26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link w:val="Textodeglobo"/>
    <w:rsid w:val="00B10D26"/>
    <w:rPr>
      <w:rFonts w:ascii="Lucida Grande" w:hAnsi="Lucida Grande"/>
      <w:sz w:val="18"/>
      <w:szCs w:val="18"/>
      <w:lang w:val="es-ES" w:eastAsia="es-CO"/>
    </w:rPr>
  </w:style>
  <w:style w:type="character" w:styleId="Refdecomentario">
    <w:name w:val="annotation reference"/>
    <w:rsid w:val="00B10D26"/>
    <w:rPr>
      <w:sz w:val="18"/>
      <w:szCs w:val="18"/>
    </w:rPr>
  </w:style>
  <w:style w:type="paragraph" w:styleId="Textocomentario">
    <w:name w:val="annotation text"/>
    <w:basedOn w:val="Normal"/>
    <w:link w:val="TextocomentarioCar"/>
    <w:rsid w:val="00B10D26"/>
    <w:rPr>
      <w:szCs w:val="24"/>
    </w:rPr>
  </w:style>
  <w:style w:type="character" w:customStyle="1" w:styleId="TextocomentarioCar">
    <w:name w:val="Texto comentario Car"/>
    <w:link w:val="Textocomentario"/>
    <w:rsid w:val="00B10D26"/>
    <w:rPr>
      <w:rFonts w:ascii="Arial" w:hAnsi="Arial"/>
      <w:sz w:val="24"/>
      <w:szCs w:val="24"/>
      <w:lang w:val="es-ES"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rsid w:val="00B10D26"/>
    <w:rPr>
      <w:b/>
      <w:bCs/>
    </w:rPr>
  </w:style>
  <w:style w:type="character" w:customStyle="1" w:styleId="AsuntodelcomentarioCar">
    <w:name w:val="Asunto del comentario Car"/>
    <w:link w:val="Asuntodelcomentario"/>
    <w:rsid w:val="00B10D26"/>
    <w:rPr>
      <w:rFonts w:ascii="Arial" w:hAnsi="Arial"/>
      <w:b/>
      <w:bCs/>
      <w:sz w:val="24"/>
      <w:szCs w:val="24"/>
      <w:lang w:val="es-ES" w:eastAsia="es-CO"/>
    </w:rPr>
  </w:style>
  <w:style w:type="paragraph" w:styleId="Mapadeldocumento">
    <w:name w:val="Document Map"/>
    <w:basedOn w:val="Normal"/>
    <w:link w:val="MapadeldocumentoCar"/>
    <w:rsid w:val="00B10D26"/>
    <w:rPr>
      <w:rFonts w:ascii="Lucida Grande" w:hAnsi="Lucida Grande"/>
      <w:szCs w:val="24"/>
    </w:rPr>
  </w:style>
  <w:style w:type="character" w:customStyle="1" w:styleId="MapadeldocumentoCar">
    <w:name w:val="Mapa del documento Car"/>
    <w:link w:val="Mapadeldocumento"/>
    <w:rsid w:val="00B10D26"/>
    <w:rPr>
      <w:rFonts w:ascii="Lucida Grande" w:hAnsi="Lucida Grande"/>
      <w:sz w:val="24"/>
      <w:szCs w:val="24"/>
      <w:lang w:val="es-ES" w:eastAsia="es-CO"/>
    </w:rPr>
  </w:style>
  <w:style w:type="character" w:styleId="Hipervnculovisitado">
    <w:name w:val="FollowedHyperlink"/>
    <w:rsid w:val="00B10D26"/>
    <w:rPr>
      <w:color w:val="800080"/>
      <w:u w:val="single"/>
    </w:rPr>
  </w:style>
  <w:style w:type="paragraph" w:customStyle="1" w:styleId="Encabezadodetabladecontenido">
    <w:name w:val="Encabezado de tabla de contenido"/>
    <w:basedOn w:val="Ttulo1"/>
    <w:next w:val="Normal"/>
    <w:uiPriority w:val="39"/>
    <w:semiHidden/>
    <w:unhideWhenUsed/>
    <w:qFormat/>
    <w:rsid w:val="009214C2"/>
    <w:pPr>
      <w:keepLines/>
      <w:spacing w:before="480" w:after="0" w:line="276" w:lineRule="auto"/>
      <w:outlineLvl w:val="9"/>
    </w:pPr>
    <w:rPr>
      <w:rFonts w:ascii="Cambria" w:hAnsi="Cambria" w:cs="Times New Roman"/>
      <w:caps w:val="0"/>
      <w:color w:val="365F91"/>
      <w:kern w:val="0"/>
      <w:sz w:val="28"/>
      <w:szCs w:val="28"/>
      <w:lang w:val="es-CO"/>
    </w:rPr>
  </w:style>
  <w:style w:type="paragraph" w:styleId="TDC1">
    <w:name w:val="toc 1"/>
    <w:basedOn w:val="Normal"/>
    <w:next w:val="Normal"/>
    <w:autoRedefine/>
    <w:uiPriority w:val="39"/>
    <w:unhideWhenUsed/>
    <w:rsid w:val="009214C2"/>
    <w:pPr>
      <w:spacing w:before="240" w:after="120"/>
    </w:pPr>
    <w:rPr>
      <w:b/>
      <w:bCs/>
      <w:sz w:val="16"/>
    </w:rPr>
  </w:style>
  <w:style w:type="paragraph" w:styleId="TDC2">
    <w:name w:val="toc 2"/>
    <w:basedOn w:val="Normal"/>
    <w:next w:val="Normal"/>
    <w:autoRedefine/>
    <w:uiPriority w:val="39"/>
    <w:unhideWhenUsed/>
    <w:rsid w:val="009214C2"/>
    <w:pPr>
      <w:tabs>
        <w:tab w:val="right" w:leader="dot" w:pos="8830"/>
      </w:tabs>
      <w:ind w:left="240"/>
      <w:jc w:val="both"/>
    </w:pPr>
    <w:rPr>
      <w:iCs/>
      <w:sz w:val="16"/>
    </w:rPr>
  </w:style>
  <w:style w:type="paragraph" w:styleId="TDC3">
    <w:name w:val="toc 3"/>
    <w:basedOn w:val="Normal"/>
    <w:next w:val="Normal"/>
    <w:autoRedefine/>
    <w:uiPriority w:val="39"/>
    <w:unhideWhenUsed/>
    <w:rsid w:val="009214C2"/>
    <w:pPr>
      <w:ind w:left="480"/>
    </w:pPr>
    <w:rPr>
      <w:rFonts w:ascii="Calibri" w:hAnsi="Calibri"/>
      <w:sz w:val="20"/>
    </w:rPr>
  </w:style>
  <w:style w:type="paragraph" w:styleId="TDC4">
    <w:name w:val="toc 4"/>
    <w:basedOn w:val="Normal"/>
    <w:next w:val="Normal"/>
    <w:autoRedefine/>
    <w:uiPriority w:val="39"/>
    <w:unhideWhenUsed/>
    <w:rsid w:val="009214C2"/>
    <w:pPr>
      <w:ind w:left="720"/>
    </w:pPr>
    <w:rPr>
      <w:rFonts w:ascii="Calibri" w:hAnsi="Calibri"/>
      <w:sz w:val="20"/>
    </w:rPr>
  </w:style>
  <w:style w:type="paragraph" w:styleId="TDC5">
    <w:name w:val="toc 5"/>
    <w:basedOn w:val="Normal"/>
    <w:next w:val="Normal"/>
    <w:autoRedefine/>
    <w:uiPriority w:val="39"/>
    <w:unhideWhenUsed/>
    <w:rsid w:val="009214C2"/>
    <w:pPr>
      <w:ind w:left="960"/>
    </w:pPr>
    <w:rPr>
      <w:rFonts w:ascii="Calibri" w:hAnsi="Calibri"/>
      <w:sz w:val="20"/>
    </w:rPr>
  </w:style>
  <w:style w:type="paragraph" w:styleId="TDC6">
    <w:name w:val="toc 6"/>
    <w:basedOn w:val="Normal"/>
    <w:next w:val="Normal"/>
    <w:autoRedefine/>
    <w:uiPriority w:val="39"/>
    <w:unhideWhenUsed/>
    <w:rsid w:val="009214C2"/>
    <w:pPr>
      <w:ind w:left="1200"/>
    </w:pPr>
    <w:rPr>
      <w:rFonts w:ascii="Calibri" w:hAnsi="Calibri"/>
      <w:sz w:val="20"/>
    </w:rPr>
  </w:style>
  <w:style w:type="paragraph" w:styleId="TDC7">
    <w:name w:val="toc 7"/>
    <w:basedOn w:val="Normal"/>
    <w:next w:val="Normal"/>
    <w:autoRedefine/>
    <w:uiPriority w:val="39"/>
    <w:unhideWhenUsed/>
    <w:rsid w:val="009214C2"/>
    <w:pPr>
      <w:ind w:left="1440"/>
    </w:pPr>
    <w:rPr>
      <w:rFonts w:ascii="Calibri" w:hAnsi="Calibri"/>
      <w:sz w:val="20"/>
    </w:rPr>
  </w:style>
  <w:style w:type="paragraph" w:styleId="TDC8">
    <w:name w:val="toc 8"/>
    <w:basedOn w:val="Normal"/>
    <w:next w:val="Normal"/>
    <w:autoRedefine/>
    <w:uiPriority w:val="39"/>
    <w:unhideWhenUsed/>
    <w:rsid w:val="009214C2"/>
    <w:pPr>
      <w:ind w:left="1680"/>
    </w:pPr>
    <w:rPr>
      <w:rFonts w:ascii="Calibri" w:hAnsi="Calibri"/>
      <w:sz w:val="20"/>
    </w:rPr>
  </w:style>
  <w:style w:type="paragraph" w:styleId="TDC9">
    <w:name w:val="toc 9"/>
    <w:basedOn w:val="Normal"/>
    <w:next w:val="Normal"/>
    <w:autoRedefine/>
    <w:uiPriority w:val="39"/>
    <w:unhideWhenUsed/>
    <w:rsid w:val="009214C2"/>
    <w:pPr>
      <w:ind w:left="1920"/>
    </w:pPr>
    <w:rPr>
      <w:rFonts w:ascii="Calibri" w:hAnsi="Calibri"/>
      <w:sz w:val="20"/>
    </w:rPr>
  </w:style>
  <w:style w:type="paragraph" w:customStyle="1" w:styleId="Listaclara-nfasis31">
    <w:name w:val="Lista clara - Énfasis 31"/>
    <w:hidden/>
    <w:uiPriority w:val="71"/>
    <w:rsid w:val="00CD4BF2"/>
    <w:rPr>
      <w:rFonts w:ascii="Arial" w:hAnsi="Arial"/>
      <w:sz w:val="24"/>
      <w:lang w:eastAsia="es-CO"/>
    </w:rPr>
  </w:style>
  <w:style w:type="paragraph" w:customStyle="1" w:styleId="Textodecuerpo21">
    <w:name w:val="Texto de cuerpo 21"/>
    <w:basedOn w:val="Normal"/>
    <w:rsid w:val="00243B4D"/>
    <w:pPr>
      <w:tabs>
        <w:tab w:val="left" w:pos="851"/>
      </w:tabs>
      <w:jc w:val="both"/>
    </w:pPr>
    <w:rPr>
      <w:sz w:val="18"/>
      <w:lang w:val="es-ES_tradnl"/>
    </w:rPr>
  </w:style>
  <w:style w:type="paragraph" w:styleId="Prrafodelista">
    <w:name w:val="List Paragraph"/>
    <w:basedOn w:val="Normal"/>
    <w:uiPriority w:val="34"/>
    <w:qFormat/>
    <w:rsid w:val="00A92F8B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0D7CEE"/>
    <w:rPr>
      <w:color w:val="808080"/>
    </w:rPr>
  </w:style>
  <w:style w:type="paragraph" w:customStyle="1" w:styleId="Default">
    <w:name w:val="Default"/>
    <w:uiPriority w:val="99"/>
    <w:rsid w:val="00577AB4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val="es-CO" w:eastAsia="en-US"/>
    </w:rPr>
  </w:style>
  <w:style w:type="paragraph" w:customStyle="1" w:styleId="Titulo2">
    <w:name w:val="Titulo 2"/>
    <w:basedOn w:val="Normal"/>
    <w:rsid w:val="00577AB4"/>
    <w:pPr>
      <w:numPr>
        <w:numId w:val="6"/>
      </w:numPr>
    </w:pPr>
    <w:rPr>
      <w:rFonts w:ascii="Times New Roman" w:hAnsi="Times New Roman"/>
      <w:szCs w:val="24"/>
      <w:lang w:eastAsia="es-ES"/>
    </w:rPr>
  </w:style>
  <w:style w:type="paragraph" w:customStyle="1" w:styleId="Titulo">
    <w:name w:val="Titulo"/>
    <w:basedOn w:val="Normal"/>
    <w:rsid w:val="00577AB4"/>
    <w:pPr>
      <w:numPr>
        <w:ilvl w:val="1"/>
        <w:numId w:val="6"/>
      </w:numPr>
    </w:pPr>
    <w:rPr>
      <w:rFonts w:ascii="Times New Roman" w:hAnsi="Times New Roman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471A94B2A6F124097B73DC7037F8A53" ma:contentTypeVersion="8" ma:contentTypeDescription="Crear nuevo documento." ma:contentTypeScope="" ma:versionID="042ed2e0332dfdfbadc615851267e933">
  <xsd:schema xmlns:xsd="http://www.w3.org/2001/XMLSchema" xmlns:xs="http://www.w3.org/2001/XMLSchema" xmlns:p="http://schemas.microsoft.com/office/2006/metadata/properties" xmlns:ns2="aeefa014-0642-44e1-be92-64648ad07d09" xmlns:ns3="8a5321c4-a212-4a08-9009-4a0d20160ba0" targetNamespace="http://schemas.microsoft.com/office/2006/metadata/properties" ma:root="true" ma:fieldsID="9121d7d56a29b06dea6444511fe840b0" ns2:_="" ns3:_="">
    <xsd:import namespace="aeefa014-0642-44e1-be92-64648ad07d09"/>
    <xsd:import namespace="8a5321c4-a212-4a08-9009-4a0d20160b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efa014-0642-44e1-be92-64648ad07d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321c4-a212-4a08-9009-4a0d20160ba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52195-DC50-405F-9891-0D4F6C9680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F97109-E8F5-4FB2-AEB6-03CEF8A1E2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efa014-0642-44e1-be92-64648ad07d09"/>
    <ds:schemaRef ds:uri="8a5321c4-a212-4a08-9009-4a0d20160b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540EDB-A8E4-435F-B1C3-1C71D4F652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672A7E-2C8E-4358-94D5-5F4BF3BC7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775</Words>
  <Characters>4264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5029</CharactersWithSpaces>
  <SharedDoc>false</SharedDoc>
  <HLinks>
    <vt:vector size="12" baseType="variant">
      <vt:variant>
        <vt:i4>5767270</vt:i4>
      </vt:variant>
      <vt:variant>
        <vt:i4>6</vt:i4>
      </vt:variant>
      <vt:variant>
        <vt:i4>0</vt:i4>
      </vt:variant>
      <vt:variant>
        <vt:i4>5</vt:i4>
      </vt:variant>
      <vt:variant>
        <vt:lpwstr>mailto:422notastecnicas@superfinanciera.gov.co</vt:lpwstr>
      </vt:variant>
      <vt:variant>
        <vt:lpwstr/>
      </vt:variant>
      <vt:variant>
        <vt:i4>2818053</vt:i4>
      </vt:variant>
      <vt:variant>
        <vt:i4>3</vt:i4>
      </vt:variant>
      <vt:variant>
        <vt:i4>0</vt:i4>
      </vt:variant>
      <vt:variant>
        <vt:i4>5</vt:i4>
      </vt:variant>
      <vt:variant>
        <vt:lpwstr>mailto:360polizas@superfinanciera.gov.co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 Castañeda</dc:creator>
  <cp:lastModifiedBy>Gabriel Armando Ospina Garcia</cp:lastModifiedBy>
  <cp:revision>15</cp:revision>
  <dcterms:created xsi:type="dcterms:W3CDTF">2021-04-20T15:58:00Z</dcterms:created>
  <dcterms:modified xsi:type="dcterms:W3CDTF">2021-05-11T00:26:00Z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0x0101000471A94B2A6F124097B73DC7037F8A53</vt:lpwstr>
  </property>
</Properties>
</file>